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32"/>
          <w:szCs w:val="32"/>
        </w:rPr>
      </w:pPr>
      <w:bookmarkStart w:id="0" w:name="_GoBack"/>
      <w:r>
        <w:rPr>
          <w:rFonts w:hint="eastAsia" w:ascii="方正小标宋_GBK" w:eastAsia="方正小标宋_GBK"/>
          <w:sz w:val="32"/>
          <w:szCs w:val="32"/>
        </w:rPr>
        <w:t>关于《关于禁止猎捕陆生野生动物的通告》的制定说明</w:t>
      </w:r>
    </w:p>
    <w:bookmarkEnd w:id="0"/>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为切实加强野生动物保护管理，维护生态平衡，促进人与自然和谐共生，根据《中华人民共和国野生动物保护法》等相关法律法规，结合我县野生动物保护工作实际，制定了《关于禁止猎捕陆生野生动物的通告》（以下简称《通告》）。现将有关制定情况说明如下：</w:t>
      </w:r>
    </w:p>
    <w:p>
      <w:pPr>
        <w:spacing w:line="560" w:lineRule="exact"/>
        <w:ind w:firstLine="620" w:firstLineChars="200"/>
        <w:rPr>
          <w:rFonts w:hint="eastAsia" w:ascii="黑体" w:hAnsi="黑体" w:eastAsia="黑体"/>
          <w:sz w:val="31"/>
          <w:szCs w:val="31"/>
        </w:rPr>
      </w:pPr>
      <w:r>
        <w:rPr>
          <w:rFonts w:hint="eastAsia" w:ascii="黑体" w:hAnsi="黑体" w:eastAsia="黑体"/>
          <w:sz w:val="31"/>
          <w:szCs w:val="31"/>
        </w:rPr>
        <w:t>一、制定背景与必要性</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野生动物是自然生态系统的重要组成部分，对维护生物多样性和生态平衡具有不可替代的作用。近年来，随着生态环境持续改善，我县野生动物种群得到一定恢复，但非法猎捕、交易、食用野生动物等现象仍时有发生，对野生动物资源及其栖息地造成威胁。为进一步强化野生动物保护力度，明确禁猎要求，震慑违法犯罪行为，引导公众自觉保护野生动物，有必要依法划定禁猎区、设定禁猎期，并明确相关禁止行为与法律责任。</w:t>
      </w:r>
    </w:p>
    <w:p>
      <w:pPr>
        <w:spacing w:line="560" w:lineRule="exact"/>
        <w:ind w:firstLine="620" w:firstLineChars="200"/>
        <w:rPr>
          <w:rFonts w:hint="eastAsia" w:ascii="黑体" w:hAnsi="黑体" w:eastAsia="黑体"/>
          <w:sz w:val="31"/>
          <w:szCs w:val="31"/>
        </w:rPr>
      </w:pPr>
      <w:r>
        <w:rPr>
          <w:rFonts w:hint="eastAsia" w:ascii="黑体" w:hAnsi="黑体" w:eastAsia="黑体"/>
          <w:sz w:val="31"/>
          <w:szCs w:val="31"/>
        </w:rPr>
        <w:t>二、主要法律依据</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《通告》严格依据《中华人民共和国野生动物保护法》第十二条（关于禁止猎捕、杀害国家重点保护野生动物的规定）、第二十四条（关于禁猎区、禁猎期以及禁止使用的猎捕工具和方法的规定）等条款，并参照</w:t>
      </w:r>
      <w:r>
        <w:rPr>
          <w:rFonts w:ascii="方正仿宋_GBK" w:hAnsi="方正仿宋_GBK" w:eastAsia="方正仿宋_GBK" w:cs="方正仿宋_GBK"/>
          <w:i w:val="0"/>
          <w:caps w:val="0"/>
          <w:color w:val="000000"/>
          <w:spacing w:val="0"/>
          <w:sz w:val="31"/>
          <w:szCs w:val="31"/>
          <w:shd w:val="clear" w:fill="FFFFFF"/>
        </w:rPr>
        <w:t>新疆维吾尔自治区实施《中华人民共和国野生动物保护法》办法</w:t>
      </w:r>
      <w:r>
        <w:rPr>
          <w:rFonts w:hint="eastAsia" w:ascii="方正仿宋_GBK" w:eastAsia="方正仿宋_GBK"/>
          <w:sz w:val="31"/>
          <w:szCs w:val="31"/>
        </w:rPr>
        <w:t>等地方性法规，确保内容合法、合规。</w:t>
      </w:r>
    </w:p>
    <w:p>
      <w:pPr>
        <w:spacing w:line="560" w:lineRule="exact"/>
        <w:ind w:firstLine="620" w:firstLineChars="200"/>
        <w:rPr>
          <w:rFonts w:hint="eastAsia" w:ascii="黑体" w:hAnsi="黑体" w:eastAsia="黑体"/>
          <w:sz w:val="31"/>
          <w:szCs w:val="31"/>
        </w:rPr>
      </w:pPr>
      <w:r>
        <w:rPr>
          <w:rFonts w:hint="eastAsia" w:ascii="黑体" w:hAnsi="黑体" w:eastAsia="黑体"/>
          <w:sz w:val="31"/>
          <w:szCs w:val="31"/>
        </w:rPr>
        <w:t>三、《通告》主要内容说明</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1. 禁猎区与禁猎期：明确将和硕县行政区域全域划定为禁猎区，全年设定为禁猎期。此举旨在实施最严格的区域保护和时间管控，最大限度减少人为狩猎干扰，保障野生动物休养生息。</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2. 禁猎工具与方法：在法律法规明令禁止的工具和方法基础上，结合本地实际，进一步细化列举了禁止使用的狩猎工具（如气枪、弩、粘网、高频声波装置等）和狩猎方法（如声音诱捕、灯光诱捕、设置陷阱、电击装置等）。详细列举旨在增强规定的可操作性，便于公众识别和执法机关认定。</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3. 禁猎对象：明确禁猎对象为列入国家和自治区发布的野生动物保护名录的陆生野生动物，确保了保护范围的全面性与针对性。</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4. 法律责任：重申在禁猎区、禁猎期内，禁止一切猎捕及妨碍野生动物生息繁衍的活动。明确对违法猎捕行为将依法予以行政处罚；构成犯罪的，依法追究刑事责任。体现了法律的严肃性和威慑力。</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5. 例外情形：考虑到科学研究、种群调控、疫病监测等特殊需要，《通告》明确规定必须依法申请特许猎捕证或狩猎证，并严格按照核准的内容进行，确保了保护与管理工作的科学性和规范性。</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6. 实施期限：《通告》自发布之日起生效，禁猎期设定为5年，体现了政策的稳定性和长期保护导向。</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7. 监督举报：公布和硕县林业和草原局举报电话，旨在拓宽监督渠道，鼓励公众参与野生动物保护，构建社会共治格局。</w:t>
      </w:r>
    </w:p>
    <w:p>
      <w:pPr>
        <w:spacing w:line="560" w:lineRule="exact"/>
        <w:ind w:firstLine="620" w:firstLineChars="200"/>
        <w:rPr>
          <w:rFonts w:hint="eastAsia" w:ascii="黑体" w:hAnsi="黑体" w:eastAsia="黑体"/>
          <w:sz w:val="31"/>
          <w:szCs w:val="31"/>
        </w:rPr>
      </w:pPr>
      <w:r>
        <w:rPr>
          <w:rFonts w:hint="eastAsia" w:ascii="黑体" w:hAnsi="黑体" w:eastAsia="黑体"/>
          <w:sz w:val="31"/>
          <w:szCs w:val="31"/>
        </w:rPr>
        <w:t>四、预期效果</w:t>
      </w:r>
    </w:p>
    <w:p>
      <w:pPr>
        <w:spacing w:line="560" w:lineRule="exact"/>
        <w:ind w:firstLine="620" w:firstLineChars="200"/>
        <w:rPr>
          <w:rFonts w:ascii="方正仿宋_GBK" w:eastAsia="方正仿宋_GBK"/>
          <w:sz w:val="31"/>
          <w:szCs w:val="31"/>
        </w:rPr>
      </w:pPr>
      <w:r>
        <w:rPr>
          <w:rFonts w:hint="eastAsia" w:ascii="方正仿宋_GBK" w:eastAsia="方正仿宋_GBK"/>
          <w:sz w:val="31"/>
          <w:szCs w:val="31"/>
        </w:rPr>
        <w:t>《通告》的实施，预期将进一步提升全社会依法保护野生动物的意识，有效遏制非法猎捕行为，为野生动物创造安全的生存环境，促进我县野生动物种群恢复和生物多样性保护，推动生态文明建设。</w:t>
      </w:r>
    </w:p>
    <w:p>
      <w:pPr>
        <w:spacing w:line="560" w:lineRule="exact"/>
        <w:ind w:firstLine="620" w:firstLineChars="200"/>
        <w:rPr>
          <w:rFonts w:ascii="方正仿宋_GBK" w:eastAsia="方正仿宋_GBK"/>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5A"/>
    <w:rsid w:val="003D3E78"/>
    <w:rsid w:val="00597ECD"/>
    <w:rsid w:val="008772F6"/>
    <w:rsid w:val="00927F5A"/>
    <w:rsid w:val="00A44D02"/>
    <w:rsid w:val="00D3106C"/>
    <w:rsid w:val="00EA5DF5"/>
    <w:rsid w:val="00EB1026"/>
    <w:rsid w:val="00FB2386"/>
    <w:rsid w:val="36042764"/>
    <w:rsid w:val="50CF4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next w:val="1"/>
    <w:link w:val="17"/>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kern w:val="0"/>
      <w:sz w:val="36"/>
      <w:szCs w:val="36"/>
      <w:lang w:val="en-US" w:eastAsia="ja-JP" w:bidi="ar-SA"/>
      <w14:ligatures w14:val="standardContextual"/>
    </w:rPr>
  </w:style>
  <w:style w:type="paragraph" w:styleId="3">
    <w:name w:val="heading 2"/>
    <w:next w:val="1"/>
    <w:link w:val="18"/>
    <w:unhideWhenUsed/>
    <w:qFormat/>
    <w:uiPriority w:val="9"/>
    <w:pPr>
      <w:keepNext/>
      <w:keepLines/>
      <w:spacing w:before="120" w:after="120"/>
      <w:outlineLvl w:val="1"/>
    </w:pPr>
    <w:rPr>
      <w:rFonts w:eastAsia="Microsoft YaHei UI" w:asciiTheme="minorHAnsi" w:hAnsiTheme="minorHAnsi" w:cstheme="minorBidi"/>
      <w:b/>
      <w:bCs/>
      <w:color w:val="1F497D" w:themeColor="text2"/>
      <w:kern w:val="0"/>
      <w:sz w:val="26"/>
      <w:szCs w:val="26"/>
      <w:lang w:val="en-US" w:eastAsia="ja-JP" w:bidi="ar-SA"/>
      <w14:ligatures w14:val="standardContextual"/>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366091"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eastAsia="Microsoft YaHei UI" w:asciiTheme="majorHAnsi" w:hAnsiTheme="majorHAnsi" w:cstheme="majorBidi"/>
      <w:color w:val="4F81BD" w:themeColor="accent1"/>
      <w:kern w:val="0"/>
      <w:sz w:val="36"/>
      <w:szCs w:val="36"/>
      <w:lang w:eastAsia="ja-JP"/>
    </w:rPr>
  </w:style>
  <w:style w:type="character" w:customStyle="1" w:styleId="18">
    <w:name w:val="标题 2 字符"/>
    <w:basedOn w:val="16"/>
    <w:link w:val="3"/>
    <w:qFormat/>
    <w:uiPriority w:val="9"/>
    <w:rPr>
      <w:rFonts w:eastAsia="Microsoft YaHei UI"/>
      <w:b/>
      <w:bCs/>
      <w:color w:val="1F497D" w:themeColor="text2"/>
      <w:kern w:val="0"/>
      <w:sz w:val="26"/>
      <w:szCs w:val="26"/>
      <w:lang w:eastAsia="ja-JP"/>
    </w:rPr>
  </w:style>
  <w:style w:type="character" w:customStyle="1" w:styleId="19">
    <w:name w:val="标题 3 字符"/>
    <w:basedOn w:val="16"/>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0">
    <w:name w:val="标题 4 字符"/>
    <w:basedOn w:val="16"/>
    <w:link w:val="5"/>
    <w:semiHidden/>
    <w:qFormat/>
    <w:uiPriority w:val="9"/>
    <w:rPr>
      <w:rFonts w:cstheme="majorBidi"/>
      <w:color w:val="366091" w:themeColor="accent1" w:themeShade="BF"/>
      <w:sz w:val="28"/>
      <w:szCs w:val="28"/>
    </w:rPr>
  </w:style>
  <w:style w:type="character" w:customStyle="1" w:styleId="21">
    <w:name w:val="标题 5 字符"/>
    <w:basedOn w:val="16"/>
    <w:link w:val="6"/>
    <w:semiHidden/>
    <w:qFormat/>
    <w:uiPriority w:val="9"/>
    <w:rPr>
      <w:rFonts w:cstheme="majorBidi"/>
      <w:color w:val="366091" w:themeColor="accent1" w:themeShade="BF"/>
      <w:sz w:val="24"/>
      <w:szCs w:val="24"/>
    </w:rPr>
  </w:style>
  <w:style w:type="character" w:customStyle="1" w:styleId="22">
    <w:name w:val="标题 6 字符"/>
    <w:basedOn w:val="16"/>
    <w:link w:val="7"/>
    <w:semiHidden/>
    <w:qFormat/>
    <w:uiPriority w:val="9"/>
    <w:rPr>
      <w:rFonts w:cstheme="majorBidi"/>
      <w:b/>
      <w:bCs/>
      <w:color w:val="366091" w:themeColor="accent1" w:themeShade="BF"/>
    </w:rPr>
  </w:style>
  <w:style w:type="character" w:customStyle="1" w:styleId="23">
    <w:name w:val="标题 7 字符"/>
    <w:basedOn w:val="16"/>
    <w:link w:val="8"/>
    <w:semiHidden/>
    <w:qFormat/>
    <w:uiPriority w:val="9"/>
    <w:rPr>
      <w:rFonts w:cstheme="majorBidi"/>
      <w:b/>
      <w:bCs/>
      <w:color w:val="585858" w:themeColor="text1" w:themeTint="A6"/>
    </w:rPr>
  </w:style>
  <w:style w:type="character" w:customStyle="1" w:styleId="24">
    <w:name w:val="标题 8 字符"/>
    <w:basedOn w:val="16"/>
    <w:link w:val="9"/>
    <w:semiHidden/>
    <w:qFormat/>
    <w:uiPriority w:val="9"/>
    <w:rPr>
      <w:rFonts w:cstheme="majorBidi"/>
      <w:color w:val="585858" w:themeColor="text1" w:themeTint="A6"/>
    </w:rPr>
  </w:style>
  <w:style w:type="character" w:customStyle="1" w:styleId="25">
    <w:name w:val="标题 9 字符"/>
    <w:basedOn w:val="16"/>
    <w:link w:val="10"/>
    <w:semiHidden/>
    <w:qFormat/>
    <w:uiPriority w:val="9"/>
    <w:rPr>
      <w:rFonts w:eastAsiaTheme="majorEastAsia" w:cstheme="majorBidi"/>
      <w:color w:val="585858" w:themeColor="text1" w:themeTint="A6"/>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366091" w:themeColor="accent1" w:themeShade="BF"/>
    </w:rPr>
  </w:style>
  <w:style w:type="paragraph" w:styleId="32">
    <w:name w:val="Intense Quote"/>
    <w:basedOn w:val="1"/>
    <w:next w:val="1"/>
    <w:link w:val="3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3">
    <w:name w:val="明显引用 字符"/>
    <w:basedOn w:val="16"/>
    <w:link w:val="32"/>
    <w:qFormat/>
    <w:uiPriority w:val="30"/>
    <w:rPr>
      <w:i/>
      <w:iCs/>
      <w:color w:val="366091" w:themeColor="accent1" w:themeShade="BF"/>
    </w:rPr>
  </w:style>
  <w:style w:type="character" w:customStyle="1" w:styleId="34">
    <w:name w:val="Intense Reference"/>
    <w:basedOn w:val="16"/>
    <w:qFormat/>
    <w:uiPriority w:val="32"/>
    <w:rPr>
      <w:b/>
      <w:bCs/>
      <w:smallCaps/>
      <w:color w:val="366091"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173</Words>
  <Characters>987</Characters>
  <Lines>8</Lines>
  <Paragraphs>2</Paragraphs>
  <TotalTime>14</TotalTime>
  <ScaleCrop>false</ScaleCrop>
  <LinksUpToDate>false</LinksUpToDate>
  <CharactersWithSpaces>1158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2025-12-15T04:14:00Z</dcterms:created>
  <dc:creator>林峰 蒲</dc:creator>
  <cp:lastModifiedBy>NTKO</cp:lastModifiedBy>
  <cp:lastPrinted>2025-12-15T04:26:00Z</cp:lastPrinted>
  <dcterms:modified xsi:type="dcterms:W3CDTF">2025-12-18T02:31:02Z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