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中共和硕县纪律检查委员会（部门）2024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1F6549C">
      <w:r>
        <w:br w:type="page"/>
      </w:r>
    </w:p>
    <w:p w14:paraId="12ED9E15">
      <w:pPr>
        <w:spacing w:line="640" w:lineRule="exact"/>
        <w:jc w:val="center"/>
        <w:outlineLvl w:val="1"/>
      </w:pPr>
      <w:r>
        <w:rPr>
          <w:rFonts w:ascii="黑体" w:hAnsi="黑体" w:eastAsia="黑体"/>
          <w:sz w:val="32"/>
        </w:rPr>
        <w:t>第一部分 部门概况</w:t>
      </w:r>
    </w:p>
    <w:p w14:paraId="590B88A8">
      <w:pPr>
        <w:spacing w:line="640" w:lineRule="exact"/>
        <w:ind w:firstLine="640"/>
        <w:jc w:val="both"/>
        <w:outlineLvl w:val="2"/>
      </w:pPr>
      <w:r>
        <w:rPr>
          <w:rFonts w:ascii="黑体" w:hAnsi="黑体" w:eastAsia="黑体"/>
          <w:sz w:val="32"/>
        </w:rPr>
        <w:t>一、主要职能</w:t>
      </w:r>
    </w:p>
    <w:p w14:paraId="5225697C">
      <w:pPr>
        <w:spacing w:line="580" w:lineRule="exact"/>
        <w:ind w:firstLine="640"/>
        <w:jc w:val="both"/>
      </w:pPr>
      <w:r>
        <w:rPr>
          <w:rFonts w:ascii="仿宋_GB2312" w:hAnsi="仿宋_GB2312" w:eastAsia="仿宋_GB2312"/>
          <w:sz w:val="32"/>
        </w:rPr>
        <w:t>（1）维护党的章程和其他党内法规，协助县委整顿党风、加强党风廉政建设，检查党的路线、方针、政策和决议的执行情况。</w:t>
      </w:r>
    </w:p>
    <w:p w14:paraId="383252E8">
      <w:pPr>
        <w:spacing w:line="580" w:lineRule="exact"/>
        <w:ind w:firstLine="640"/>
        <w:jc w:val="both"/>
      </w:pPr>
      <w:r>
        <w:rPr>
          <w:rFonts w:ascii="仿宋_GB2312" w:hAnsi="仿宋_GB2312" w:eastAsia="仿宋_GB2312"/>
          <w:sz w:val="32"/>
        </w:rPr>
        <w:t>（2）贯彻落实各级党委、人民政府有关行政监察工作的指示、决定，主管全县行政监察工作。</w:t>
      </w:r>
    </w:p>
    <w:p w14:paraId="69FE3350">
      <w:pPr>
        <w:spacing w:line="580" w:lineRule="exact"/>
        <w:ind w:firstLine="640"/>
        <w:jc w:val="both"/>
      </w:pPr>
      <w:r>
        <w:rPr>
          <w:rFonts w:ascii="仿宋_GB2312" w:hAnsi="仿宋_GB2312" w:eastAsia="仿宋_GB2312"/>
          <w:sz w:val="32"/>
        </w:rPr>
        <w:t>（3）负责组织、协调做好领导干部廉洁自律、纠正部门和行业不正之风及源头预防和解决腐败问题的工作。</w:t>
      </w:r>
    </w:p>
    <w:p w14:paraId="659787ED">
      <w:pPr>
        <w:spacing w:line="580" w:lineRule="exact"/>
        <w:ind w:firstLine="640"/>
        <w:jc w:val="both"/>
      </w:pPr>
      <w:r>
        <w:rPr>
          <w:rFonts w:ascii="仿宋_GB2312" w:hAnsi="仿宋_GB2312" w:eastAsia="仿宋_GB2312"/>
          <w:sz w:val="32"/>
        </w:rPr>
        <w:t>（4）负责检查和处理全县各级党的组织和党员违反党的章程、党纪和国家法律、法规的重要或复杂案件，决定或取消对这些案件中党员的处分；受理党员的控告和申诉，保护党员的民主权利和合法权益。</w:t>
      </w:r>
    </w:p>
    <w:p w14:paraId="7D3DC008">
      <w:pPr>
        <w:spacing w:line="580" w:lineRule="exact"/>
        <w:ind w:firstLine="640"/>
        <w:jc w:val="both"/>
      </w:pPr>
      <w:r>
        <w:rPr>
          <w:rFonts w:ascii="仿宋_GB2312" w:hAnsi="仿宋_GB2312" w:eastAsia="仿宋_GB2312"/>
          <w:sz w:val="32"/>
        </w:rPr>
        <w:t>（5）按照分级管辖的原则，检查国家行政机关在遵守和执行法律、法规和人民政府的决定、命令中的问题，受理对国家行政机关、国家公务员和国家行政机关任命的其他人员违反行政纪律行为的检举、控告；调查处理国家行政机关、国家公务员和国家行政机关任命的其他人员违反行政纪律的行为，审理决定或建议对他们做出行政处分；受理国家公务员和国家行政机关任命的其他人员不服主管行政机关给予行政处分决定的申诉，以及法律、行政法规规定的其他由监察机关受理的申诉，保护国家公务员正当的合法权益。</w:t>
      </w:r>
    </w:p>
    <w:p w14:paraId="5E67230E">
      <w:pPr>
        <w:spacing w:line="580" w:lineRule="exact"/>
        <w:ind w:firstLine="640"/>
        <w:jc w:val="both"/>
      </w:pPr>
      <w:r>
        <w:rPr>
          <w:rFonts w:ascii="仿宋_GB2312" w:hAnsi="仿宋_GB2312" w:eastAsia="仿宋_GB2312"/>
          <w:sz w:val="32"/>
        </w:rPr>
        <w:t>（6）负责做出关于维护党纪的决定、制定党风党纪</w:t>
      </w:r>
      <w:r>
        <w:rPr>
          <w:rFonts w:hint="eastAsia" w:ascii="仿宋_GB2312" w:hAnsi="仿宋_GB2312" w:eastAsia="仿宋_GB2312"/>
          <w:sz w:val="32"/>
          <w:lang w:eastAsia="zh-CN"/>
        </w:rPr>
        <w:t>学习教育</w:t>
      </w:r>
      <w:r>
        <w:rPr>
          <w:rFonts w:ascii="仿宋_GB2312" w:hAnsi="仿宋_GB2312" w:eastAsia="仿宋_GB2312"/>
          <w:sz w:val="32"/>
        </w:rPr>
        <w:t>规划，配合有关部门做好党的纪检工作方针、政策的宣传和对党员纪律的教育工作。</w:t>
      </w:r>
    </w:p>
    <w:p w14:paraId="4D2FE913">
      <w:pPr>
        <w:spacing w:line="580" w:lineRule="exact"/>
        <w:ind w:firstLine="640"/>
        <w:jc w:val="both"/>
      </w:pPr>
      <w:r>
        <w:rPr>
          <w:rFonts w:ascii="仿宋_GB2312" w:hAnsi="仿宋_GB2312" w:eastAsia="仿宋_GB2312"/>
          <w:sz w:val="32"/>
        </w:rPr>
        <w:t>（7）会同有关部门做好行政监察工作的方针、政策和法律的宣传工作；教育国家机关工作人员遵纪守法、为政清廉。</w:t>
      </w:r>
    </w:p>
    <w:p w14:paraId="3F1A1BFA">
      <w:pPr>
        <w:spacing w:line="580" w:lineRule="exact"/>
        <w:ind w:firstLine="640"/>
        <w:jc w:val="both"/>
      </w:pPr>
      <w:r>
        <w:rPr>
          <w:rFonts w:ascii="仿宋_GB2312" w:hAnsi="仿宋_GB2312" w:eastAsia="仿宋_GB2312"/>
          <w:sz w:val="32"/>
        </w:rPr>
        <w:t>（8）对党的纪律检查工作理论及有关问题进行调查研究，拟定党纪条规和政策规定；调查监察对象遵纪守法情况。研究政风中出现的带普遍性、倾向性的问题，拟定行政监察工作的地方制度，并组织监督实施。</w:t>
      </w:r>
    </w:p>
    <w:p w14:paraId="4DF79220">
      <w:pPr>
        <w:spacing w:line="580" w:lineRule="exact"/>
        <w:ind w:firstLine="640"/>
        <w:jc w:val="both"/>
      </w:pPr>
      <w:r>
        <w:rPr>
          <w:rFonts w:ascii="仿宋_GB2312" w:hAnsi="仿宋_GB2312" w:eastAsia="仿宋_GB2312"/>
          <w:sz w:val="32"/>
        </w:rPr>
        <w:t>（9）会同各有关部门及各乡（镇）党委和政府做好纪检、监察的管理，提出和审核县乡纪委及县属机关、单位纪检机构领导的人选；组织和指导全县纪检监察干部的培训工作。组织部门和校党委交办的其他工作。</w:t>
      </w:r>
    </w:p>
    <w:p w14:paraId="63DE95AF">
      <w:pPr>
        <w:spacing w:line="640" w:lineRule="exact"/>
        <w:ind w:firstLine="640"/>
        <w:jc w:val="both"/>
        <w:outlineLvl w:val="2"/>
      </w:pPr>
      <w:r>
        <w:rPr>
          <w:rFonts w:ascii="黑体" w:hAnsi="黑体" w:eastAsia="黑体"/>
          <w:sz w:val="32"/>
        </w:rPr>
        <w:t>二、机构设置及人员情况</w:t>
      </w:r>
    </w:p>
    <w:p w14:paraId="23B29730">
      <w:pPr>
        <w:spacing w:line="580" w:lineRule="exact"/>
        <w:ind w:firstLine="640"/>
        <w:jc w:val="both"/>
      </w:pPr>
      <w:r>
        <w:rPr>
          <w:rFonts w:ascii="仿宋_GB2312" w:hAnsi="仿宋_GB2312" w:eastAsia="仿宋_GB2312"/>
          <w:sz w:val="32"/>
        </w:rPr>
        <w:t>中共和硕县纪律检查委员会（部门）2024年度，实有人数114人，其中：在职人员89人，增加5人；离休人员0人，增加0人；退休人员25人,增加5人。</w:t>
      </w:r>
    </w:p>
    <w:p w14:paraId="419CDD6A">
      <w:pPr>
        <w:spacing w:line="580" w:lineRule="exact"/>
        <w:ind w:firstLine="640"/>
        <w:jc w:val="both"/>
      </w:pPr>
      <w:r>
        <w:rPr>
          <w:rFonts w:ascii="仿宋_GB2312" w:hAnsi="仿宋_GB2312" w:eastAsia="仿宋_GB2312"/>
          <w:sz w:val="32"/>
        </w:rPr>
        <w:t>从部门决算单位构成看，中共和硕县纪律检查委员会（部门）部门决算包括：中共和硕县纪律检查委员会（本级）决算及所属单位决算。</w:t>
      </w:r>
    </w:p>
    <w:p w14:paraId="5198BC5E">
      <w:pPr>
        <w:spacing w:line="580" w:lineRule="exact"/>
        <w:ind w:firstLine="640"/>
        <w:jc w:val="both"/>
      </w:pPr>
      <w:r>
        <w:rPr>
          <w:rFonts w:ascii="仿宋_GB2312" w:hAnsi="仿宋_GB2312" w:eastAsia="仿宋_GB2312"/>
          <w:sz w:val="32"/>
        </w:rPr>
        <w:t>中共和硕县纪律检查委员会本级下设16个科室，分别是：办公室、组织宣传部、党风政风监督室、信访室、案件监督管理室、案件审理室、第一纪检监察室、第二纪检监察室、第三纪检监察室、第一纪检监察室组、第二纪检监察室组、第三纪检监察室组、第四纪检监察室组、第五纪检监察室组、第六纪检监察室组、党委直属机关纪检监察工委。</w:t>
      </w:r>
    </w:p>
    <w:p w14:paraId="59A0FE3F">
      <w:pPr>
        <w:spacing w:line="580" w:lineRule="exact"/>
        <w:ind w:firstLine="640"/>
        <w:jc w:val="both"/>
      </w:pPr>
      <w:r>
        <w:rPr>
          <w:rFonts w:ascii="仿宋_GB2312" w:hAnsi="仿宋_GB2312" w:eastAsia="仿宋_GB2312"/>
          <w:sz w:val="32"/>
        </w:rPr>
        <w:t>纳入中共和硕县纪律检查委员会（部门）2024年度部门决算编制范围的下属预算单位包括：</w:t>
      </w:r>
    </w:p>
    <w:p w14:paraId="699BFADC">
      <w:pPr>
        <w:spacing w:line="580" w:lineRule="exact"/>
        <w:ind w:firstLine="640"/>
        <w:jc w:val="both"/>
      </w:pPr>
      <w:r>
        <w:rPr>
          <w:rFonts w:ascii="仿宋_GB2312" w:hAnsi="仿宋_GB2312" w:eastAsia="仿宋_GB2312"/>
          <w:sz w:val="32"/>
        </w:rPr>
        <w:t>1.中共和硕县纪律检查委员会</w:t>
      </w:r>
    </w:p>
    <w:p w14:paraId="035BBA6C">
      <w:pPr>
        <w:spacing w:line="580" w:lineRule="exact"/>
        <w:ind w:firstLine="640"/>
        <w:jc w:val="both"/>
      </w:pPr>
      <w:r>
        <w:rPr>
          <w:rFonts w:ascii="仿宋_GB2312" w:hAnsi="仿宋_GB2312" w:eastAsia="仿宋_GB2312"/>
          <w:sz w:val="32"/>
        </w:rPr>
        <w:t>2.和硕县党委巡察工作领导小组办公室</w:t>
      </w:r>
    </w:p>
    <w:p w14:paraId="73E95482">
      <w:r>
        <w:br w:type="page"/>
      </w:r>
    </w:p>
    <w:p w14:paraId="4DDF25DA">
      <w:pPr>
        <w:spacing w:line="240" w:lineRule="auto"/>
        <w:jc w:val="center"/>
        <w:outlineLvl w:val="1"/>
      </w:pPr>
      <w:r>
        <w:rPr>
          <w:rFonts w:ascii="黑体" w:hAnsi="黑体" w:eastAsia="黑体"/>
          <w:sz w:val="32"/>
        </w:rPr>
        <w:t>第二部分 部门决算情况说明</w:t>
      </w:r>
    </w:p>
    <w:p w14:paraId="0EDDFB6C">
      <w:pPr>
        <w:spacing w:line="640" w:lineRule="exact"/>
        <w:ind w:firstLine="640"/>
        <w:jc w:val="both"/>
        <w:outlineLvl w:val="2"/>
      </w:pPr>
      <w:r>
        <w:rPr>
          <w:rFonts w:ascii="黑体" w:hAnsi="黑体" w:eastAsia="黑体"/>
          <w:sz w:val="32"/>
        </w:rPr>
        <w:t>一、收入支出决算总体情况说明</w:t>
      </w:r>
    </w:p>
    <w:p w14:paraId="396761E8">
      <w:pPr>
        <w:spacing w:line="580" w:lineRule="exact"/>
        <w:ind w:firstLine="640"/>
        <w:jc w:val="both"/>
      </w:pPr>
      <w:r>
        <w:rPr>
          <w:rFonts w:ascii="仿宋_GB2312" w:hAnsi="仿宋_GB2312" w:eastAsia="仿宋_GB2312"/>
          <w:b/>
          <w:sz w:val="32"/>
        </w:rPr>
        <w:t>2024年度收入总计1,711.87万元，</w:t>
      </w:r>
      <w:r>
        <w:rPr>
          <w:rFonts w:ascii="仿宋_GB2312" w:hAnsi="仿宋_GB2312" w:eastAsia="仿宋_GB2312"/>
          <w:b w:val="0"/>
          <w:sz w:val="32"/>
        </w:rPr>
        <w:t>其中：本年收入合计1,711.35万元，使用非财政拨款结余（含专用结余）0.00万元，年初结转和结余0.52万元。</w:t>
      </w:r>
    </w:p>
    <w:p w14:paraId="65B2D581">
      <w:pPr>
        <w:spacing w:line="580" w:lineRule="exact"/>
        <w:ind w:firstLine="640"/>
        <w:jc w:val="both"/>
      </w:pPr>
      <w:r>
        <w:rPr>
          <w:rFonts w:ascii="仿宋_GB2312" w:hAnsi="仿宋_GB2312" w:eastAsia="仿宋_GB2312"/>
          <w:b/>
          <w:sz w:val="32"/>
        </w:rPr>
        <w:t>2024年度支出总计1,711.87万元，</w:t>
      </w:r>
      <w:r>
        <w:rPr>
          <w:rFonts w:ascii="仿宋_GB2312" w:hAnsi="仿宋_GB2312" w:eastAsia="仿宋_GB2312"/>
          <w:b w:val="0"/>
          <w:sz w:val="32"/>
        </w:rPr>
        <w:t>其中：本年支出合计1,711.33万元，结余分配0.00万元，年末结转和结余0.54万元。</w:t>
      </w:r>
    </w:p>
    <w:p w14:paraId="17D1D8E7">
      <w:pPr>
        <w:spacing w:line="580" w:lineRule="exact"/>
        <w:ind w:firstLine="640"/>
        <w:jc w:val="both"/>
      </w:pPr>
      <w:r>
        <w:rPr>
          <w:rFonts w:ascii="仿宋_GB2312" w:hAnsi="仿宋_GB2312" w:eastAsia="仿宋_GB2312"/>
          <w:b w:val="0"/>
          <w:sz w:val="32"/>
        </w:rPr>
        <w:t>收入支出总体与上年相比，增加59.97万元，增长3.63%，主要原因是：本年在职人员增加，在职人员工资调增、社保、公积金基数调增，人员经费增加；本年增加浩尧尔莫墩村防洪坝项目、自治区为民办实事项目。</w:t>
      </w:r>
    </w:p>
    <w:p w14:paraId="757CFB38">
      <w:pPr>
        <w:spacing w:line="640" w:lineRule="exact"/>
        <w:ind w:firstLine="640"/>
        <w:jc w:val="both"/>
        <w:outlineLvl w:val="2"/>
      </w:pPr>
      <w:r>
        <w:rPr>
          <w:rFonts w:ascii="黑体" w:hAnsi="黑体" w:eastAsia="黑体"/>
          <w:sz w:val="32"/>
        </w:rPr>
        <w:t>二、收入决算情况说明</w:t>
      </w:r>
    </w:p>
    <w:p w14:paraId="3E13E1E4">
      <w:pPr>
        <w:spacing w:line="580" w:lineRule="exact"/>
        <w:ind w:firstLine="640"/>
        <w:jc w:val="both"/>
      </w:pPr>
      <w:r>
        <w:rPr>
          <w:rFonts w:ascii="仿宋_GB2312" w:hAnsi="仿宋_GB2312" w:eastAsia="仿宋_GB2312"/>
          <w:b/>
          <w:sz w:val="32"/>
        </w:rPr>
        <w:t>本年收入1,711.35万元，</w:t>
      </w:r>
      <w:r>
        <w:rPr>
          <w:rFonts w:ascii="仿宋_GB2312" w:hAnsi="仿宋_GB2312" w:eastAsia="仿宋_GB2312"/>
          <w:b w:val="0"/>
          <w:sz w:val="32"/>
        </w:rPr>
        <w:t>其中：财政拨款收入1,711.33万元，占100.00%；上级补助收入0.00万元，占0.00%；事业收入0.00万元，占0.00%；经营收入0.00万元，占0.00%；附属单位上缴收入0.00万元，占0.00%；其他收入0.02万元，占0.001%。</w:t>
      </w:r>
    </w:p>
    <w:p w14:paraId="14CA108F">
      <w:pPr>
        <w:spacing w:line="640" w:lineRule="exact"/>
        <w:ind w:firstLine="640"/>
        <w:jc w:val="both"/>
        <w:outlineLvl w:val="2"/>
      </w:pPr>
      <w:r>
        <w:rPr>
          <w:rFonts w:ascii="黑体" w:hAnsi="黑体" w:eastAsia="黑体"/>
          <w:sz w:val="32"/>
        </w:rPr>
        <w:t>三、支出决算情况说明</w:t>
      </w:r>
    </w:p>
    <w:p w14:paraId="36AB0BAC">
      <w:pPr>
        <w:spacing w:line="580" w:lineRule="exact"/>
        <w:ind w:firstLine="640"/>
        <w:jc w:val="both"/>
      </w:pPr>
      <w:r>
        <w:rPr>
          <w:rFonts w:ascii="仿宋_GB2312" w:hAnsi="仿宋_GB2312" w:eastAsia="仿宋_GB2312"/>
          <w:b/>
          <w:sz w:val="32"/>
        </w:rPr>
        <w:t>本年支出1,711.33万元，</w:t>
      </w:r>
      <w:r>
        <w:rPr>
          <w:rFonts w:ascii="仿宋_GB2312" w:hAnsi="仿宋_GB2312" w:eastAsia="仿宋_GB2312"/>
          <w:b w:val="0"/>
          <w:sz w:val="32"/>
        </w:rPr>
        <w:t>其中：基本支出1,545.51万元，占90.31%；项目支出165.83万元，占9.69%；上缴上级支出0.00万元，占0.00%；经营支出0.00万元，占0.00%；对附属单位补助支出0.00万元，占0.00%。</w:t>
      </w:r>
    </w:p>
    <w:p w14:paraId="450E1570">
      <w:pPr>
        <w:spacing w:line="640" w:lineRule="exact"/>
        <w:ind w:firstLine="640"/>
        <w:jc w:val="both"/>
        <w:outlineLvl w:val="2"/>
      </w:pPr>
      <w:r>
        <w:rPr>
          <w:rFonts w:ascii="黑体" w:hAnsi="黑体" w:eastAsia="黑体"/>
          <w:sz w:val="32"/>
        </w:rPr>
        <w:t>四、财政拨款收入支出决算总体情况说明</w:t>
      </w:r>
    </w:p>
    <w:p w14:paraId="46718253">
      <w:pPr>
        <w:spacing w:line="580" w:lineRule="exact"/>
        <w:ind w:firstLine="640"/>
        <w:jc w:val="both"/>
      </w:pPr>
      <w:r>
        <w:rPr>
          <w:rFonts w:ascii="仿宋_GB2312" w:hAnsi="仿宋_GB2312" w:eastAsia="仿宋_GB2312"/>
          <w:b/>
          <w:sz w:val="32"/>
        </w:rPr>
        <w:t>2024年度财政拨款收入总计1,711.33万元，</w:t>
      </w:r>
      <w:r>
        <w:rPr>
          <w:rFonts w:ascii="仿宋_GB2312" w:hAnsi="仿宋_GB2312" w:eastAsia="仿宋_GB2312"/>
          <w:b w:val="0"/>
          <w:sz w:val="32"/>
        </w:rPr>
        <w:t>其中：年初财政拨款结转和结余0.00万元，本年财政拨款收入1,711.33万元。</w:t>
      </w:r>
      <w:r>
        <w:rPr>
          <w:rFonts w:ascii="仿宋_GB2312" w:hAnsi="仿宋_GB2312" w:eastAsia="仿宋_GB2312"/>
          <w:b/>
          <w:sz w:val="32"/>
        </w:rPr>
        <w:t>财政拨款支出总计1,711.33万元，</w:t>
      </w:r>
      <w:r>
        <w:rPr>
          <w:rFonts w:ascii="仿宋_GB2312" w:hAnsi="仿宋_GB2312" w:eastAsia="仿宋_GB2312"/>
          <w:b w:val="0"/>
          <w:sz w:val="32"/>
        </w:rPr>
        <w:t>其中：年末财政拨款结转和结余0.00万元，本年财政拨款支出1,711.33万元。</w:t>
      </w:r>
    </w:p>
    <w:p w14:paraId="48D608E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增加64.10万元，增长3.89%，主要原因是：本年在职人员增加，在职人员工资调增、社保、公积金基数调增，人员经费增加；本年增加浩尧尔莫墩村防洪坝项目、自治区为民办实事项目。</w:t>
      </w:r>
      <w:r>
        <w:rPr>
          <w:rFonts w:ascii="仿宋_GB2312" w:hAnsi="仿宋_GB2312" w:eastAsia="仿宋_GB2312"/>
          <w:b/>
          <w:sz w:val="32"/>
        </w:rPr>
        <w:t>与年初预算相比，</w:t>
      </w:r>
      <w:r>
        <w:rPr>
          <w:rFonts w:ascii="仿宋_GB2312" w:hAnsi="仿宋_GB2312" w:eastAsia="仿宋_GB2312"/>
          <w:b w:val="0"/>
          <w:sz w:val="32"/>
        </w:rPr>
        <w:t>年初预算数1,784.45万元，决算数1,711.33万元，预决算差异率-4.10%，主要原因是：严格落实中央八项规定精神，厉行节约，减少不必要的开支。</w:t>
      </w:r>
    </w:p>
    <w:p w14:paraId="4327F209">
      <w:pPr>
        <w:spacing w:line="640" w:lineRule="exact"/>
        <w:ind w:firstLine="640"/>
        <w:jc w:val="both"/>
        <w:outlineLvl w:val="2"/>
      </w:pPr>
      <w:r>
        <w:rPr>
          <w:rFonts w:ascii="黑体" w:hAnsi="黑体" w:eastAsia="黑体"/>
          <w:sz w:val="32"/>
        </w:rPr>
        <w:t>五、一般公共预算财政拨款支出决算情况说明</w:t>
      </w:r>
    </w:p>
    <w:p w14:paraId="54C90609">
      <w:pPr>
        <w:spacing w:line="640" w:lineRule="exact"/>
        <w:ind w:firstLine="640"/>
        <w:jc w:val="both"/>
        <w:outlineLvl w:val="3"/>
      </w:pPr>
      <w:r>
        <w:rPr>
          <w:rFonts w:ascii="楷体_GB2312" w:hAnsi="楷体_GB2312" w:eastAsia="楷体_GB2312"/>
          <w:b/>
          <w:sz w:val="32"/>
        </w:rPr>
        <w:t>（一）一般公共预算财政拨款支出决算总体情况</w:t>
      </w:r>
    </w:p>
    <w:p w14:paraId="5C42EA57">
      <w:pPr>
        <w:spacing w:line="580" w:lineRule="exact"/>
        <w:ind w:firstLine="640"/>
        <w:jc w:val="both"/>
      </w:pPr>
      <w:r>
        <w:rPr>
          <w:rFonts w:ascii="仿宋_GB2312" w:hAnsi="仿宋_GB2312" w:eastAsia="仿宋_GB2312"/>
          <w:b/>
          <w:sz w:val="32"/>
        </w:rPr>
        <w:t>2024年度一般公共预算财政拨款支出1,711.33万元，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增加64.10万元，增长3.89%，主要原因是：本年在职人员增加，在职人员工资调增、社保、公积金基数调增，人员经费增加；本年增加浩尧尔莫墩村防洪坝项目、自治区为民办实事项目。</w:t>
      </w:r>
      <w:r>
        <w:rPr>
          <w:rFonts w:ascii="仿宋_GB2312" w:hAnsi="仿宋_GB2312" w:eastAsia="仿宋_GB2312"/>
          <w:b/>
          <w:sz w:val="32"/>
        </w:rPr>
        <w:t>与年初预算相比,</w:t>
      </w:r>
      <w:r>
        <w:rPr>
          <w:rFonts w:ascii="仿宋_GB2312" w:hAnsi="仿宋_GB2312" w:eastAsia="仿宋_GB2312"/>
          <w:b w:val="0"/>
          <w:sz w:val="32"/>
        </w:rPr>
        <w:t>年初预算数1,784.45万元，决算数1,711.33万元，预决算差异率-4.10%，主要原因是：严格落实中央八项规定精神，厉行节约，减少不必要的开支。</w:t>
      </w:r>
    </w:p>
    <w:p w14:paraId="35DC6A0E">
      <w:pPr>
        <w:spacing w:line="640" w:lineRule="exact"/>
        <w:ind w:firstLine="640"/>
        <w:jc w:val="both"/>
        <w:outlineLvl w:val="3"/>
      </w:pPr>
      <w:r>
        <w:rPr>
          <w:rFonts w:ascii="楷体_GB2312" w:hAnsi="楷体_GB2312" w:eastAsia="楷体_GB2312"/>
          <w:b/>
          <w:sz w:val="32"/>
        </w:rPr>
        <w:t>（二）一般公共预算财政拨款支出决算结构情况</w:t>
      </w:r>
    </w:p>
    <w:p w14:paraId="74E8D232">
      <w:pPr>
        <w:spacing w:line="580" w:lineRule="exact"/>
        <w:ind w:firstLine="640"/>
        <w:jc w:val="both"/>
      </w:pPr>
      <w:r>
        <w:rPr>
          <w:rFonts w:ascii="仿宋_GB2312" w:hAnsi="仿宋_GB2312" w:eastAsia="仿宋_GB2312"/>
          <w:b w:val="0"/>
          <w:sz w:val="32"/>
        </w:rPr>
        <w:t>1.一般公共服务支出(类)1,312.24万元,占76.68%。</w:t>
      </w:r>
    </w:p>
    <w:p w14:paraId="536B5CE2">
      <w:pPr>
        <w:spacing w:line="580" w:lineRule="exact"/>
        <w:ind w:firstLine="640"/>
        <w:jc w:val="both"/>
      </w:pPr>
      <w:r>
        <w:rPr>
          <w:rFonts w:ascii="仿宋_GB2312" w:hAnsi="仿宋_GB2312" w:eastAsia="仿宋_GB2312"/>
          <w:b w:val="0"/>
          <w:sz w:val="32"/>
        </w:rPr>
        <w:t>2.教育支出(类)0.40万元,占0.02%。</w:t>
      </w:r>
    </w:p>
    <w:p w14:paraId="03E3CF77">
      <w:pPr>
        <w:spacing w:line="580" w:lineRule="exact"/>
        <w:ind w:firstLine="640"/>
        <w:jc w:val="both"/>
      </w:pPr>
      <w:r>
        <w:rPr>
          <w:rFonts w:ascii="仿宋_GB2312" w:hAnsi="仿宋_GB2312" w:eastAsia="仿宋_GB2312"/>
          <w:b w:val="0"/>
          <w:sz w:val="32"/>
        </w:rPr>
        <w:t>3.社会保障和就业支出(类)203.05万元,占11.87%。</w:t>
      </w:r>
    </w:p>
    <w:p w14:paraId="4A2AF0F2">
      <w:pPr>
        <w:spacing w:line="580" w:lineRule="exact"/>
        <w:ind w:firstLine="640"/>
        <w:jc w:val="both"/>
      </w:pPr>
      <w:r>
        <w:rPr>
          <w:rFonts w:ascii="仿宋_GB2312" w:hAnsi="仿宋_GB2312" w:eastAsia="仿宋_GB2312"/>
          <w:b w:val="0"/>
          <w:sz w:val="32"/>
        </w:rPr>
        <w:t>4.卫生健康支出(类)85.78万元,占5.01%。</w:t>
      </w:r>
    </w:p>
    <w:p w14:paraId="4428CBF5">
      <w:pPr>
        <w:spacing w:line="580" w:lineRule="exact"/>
        <w:ind w:firstLine="640"/>
        <w:jc w:val="both"/>
      </w:pPr>
      <w:r>
        <w:rPr>
          <w:rFonts w:ascii="仿宋_GB2312" w:hAnsi="仿宋_GB2312" w:eastAsia="仿宋_GB2312"/>
          <w:b w:val="0"/>
          <w:sz w:val="32"/>
        </w:rPr>
        <w:t>5.住房保障支出(类)109.87万元,占6.42%。</w:t>
      </w:r>
    </w:p>
    <w:p w14:paraId="51C6DE58">
      <w:pPr>
        <w:spacing w:line="640" w:lineRule="exact"/>
        <w:ind w:firstLine="640"/>
        <w:jc w:val="both"/>
        <w:outlineLvl w:val="3"/>
      </w:pPr>
      <w:r>
        <w:rPr>
          <w:rFonts w:ascii="楷体_GB2312" w:hAnsi="楷体_GB2312" w:eastAsia="楷体_GB2312"/>
          <w:b/>
          <w:sz w:val="32"/>
        </w:rPr>
        <w:t>（三）一般公共预算财政拨款支出决算具体情况</w:t>
      </w:r>
    </w:p>
    <w:p w14:paraId="31503DB8">
      <w:pPr>
        <w:spacing w:line="580" w:lineRule="exact"/>
        <w:ind w:firstLine="640"/>
        <w:jc w:val="both"/>
      </w:pPr>
      <w:r>
        <w:rPr>
          <w:rFonts w:ascii="仿宋_GB2312" w:hAnsi="仿宋_GB2312" w:eastAsia="仿宋_GB2312"/>
          <w:b w:val="0"/>
          <w:sz w:val="32"/>
        </w:rPr>
        <w:t>1.一般公共服务支出(类)纪检监察事务(款)行政运行(项):支出决算数为1,141.26万元，比上年决算增加15.21万元，增长1.35%,主要原因是：本年新增在职人员，人员经费增加，导致经费较上年有所增加。</w:t>
      </w:r>
    </w:p>
    <w:p w14:paraId="344CF404">
      <w:pPr>
        <w:spacing w:line="580" w:lineRule="exact"/>
        <w:ind w:firstLine="640"/>
        <w:jc w:val="both"/>
      </w:pPr>
      <w:r>
        <w:rPr>
          <w:rFonts w:ascii="仿宋_GB2312" w:hAnsi="仿宋_GB2312" w:eastAsia="仿宋_GB2312"/>
          <w:b w:val="0"/>
          <w:sz w:val="32"/>
        </w:rPr>
        <w:t>2.一般公共服务支出(类)纪检监察事务(款)其他纪检监察事务支出(项):支出决算数为170.98万元，比上年决算减少2.34万元，下降1.35%,主要原因是：本年减少纪检监察装修项目、新时代廉洁文化建设项目、纪检监察工作经费项目。</w:t>
      </w:r>
    </w:p>
    <w:p w14:paraId="35278F75">
      <w:pPr>
        <w:spacing w:line="580" w:lineRule="exact"/>
        <w:ind w:firstLine="640"/>
        <w:jc w:val="both"/>
      </w:pPr>
      <w:r>
        <w:rPr>
          <w:rFonts w:ascii="仿宋_GB2312" w:hAnsi="仿宋_GB2312" w:eastAsia="仿宋_GB2312"/>
          <w:b w:val="0"/>
          <w:sz w:val="32"/>
        </w:rPr>
        <w:t>3.教育支出(类)进修及培训(款)培训支出(项):支出决算数为0.40万元，比上年决算增加0.40万元，增长100.00%,主要原因是：本年增加培训业务，导致培训费增加。</w:t>
      </w:r>
    </w:p>
    <w:p w14:paraId="5F6DF035">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4.社会保障和就业支出(类)民政管理事务(款)基层政权建设和社区治理(项):支出决算数为11.61万元，比上年决算增加9.61万元，增长480.50%,主要原因是：本年增加浩尧尔莫墩村防洪坝项目、自治区为民办实事项目。</w:t>
      </w:r>
    </w:p>
    <w:p w14:paraId="720F5408">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5.社会保障和就业支出(类)行政事业单位养老支出(款)行政单位离退休(项):支出决算数为18.13万元，比上年决算增加6.94万元，增长62.02%,主要原因是：本年退休人员增加，退休费支出增加。</w:t>
      </w:r>
    </w:p>
    <w:p w14:paraId="691441C6">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133.58万元，比上年决算增加7.66万元，增长6.08%,主要原因是：本年在职人员增加，养老保险缴费较上年增加。</w:t>
      </w:r>
    </w:p>
    <w:p w14:paraId="315649E1">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7.社会保障和就业支出(类)行政事业单位养老支出(款)机关事业单位职业年金缴费支出(项):支出决算数为39.72万元，比上年决算增加12.72万元，增长47.11%,主要原因是：本年新增退休人员，职业年金缴费支出增加。</w:t>
      </w:r>
    </w:p>
    <w:p w14:paraId="618D1343">
      <w:pPr>
        <w:spacing w:line="580" w:lineRule="exact"/>
        <w:ind w:firstLine="640"/>
        <w:jc w:val="both"/>
      </w:pPr>
      <w:r>
        <w:rPr>
          <w:rFonts w:ascii="仿宋_GB2312" w:hAnsi="仿宋_GB2312" w:eastAsia="仿宋_GB2312"/>
          <w:b w:val="0"/>
          <w:sz w:val="32"/>
        </w:rPr>
        <w:t>8.卫生健康支出(类)行政事业单位医疗(款)行政单位医疗(项):支出决算数为58.44万元，比上年决算增加3.35万元，增长6.08%,主要原因是：本年在职人员增加，行政单位医疗支出较上年增加。</w:t>
      </w:r>
    </w:p>
    <w:p w14:paraId="112E82F9">
      <w:pPr>
        <w:spacing w:line="580" w:lineRule="exact"/>
        <w:ind w:firstLine="640"/>
        <w:jc w:val="both"/>
      </w:pPr>
      <w:r>
        <w:rPr>
          <w:rFonts w:ascii="仿宋_GB2312" w:hAnsi="仿宋_GB2312" w:eastAsia="仿宋_GB2312"/>
          <w:b w:val="0"/>
          <w:sz w:val="32"/>
        </w:rPr>
        <w:t>9.卫生健康支出(类)行政事业单位医疗(款)公务员医疗补助(项):支出决算数为25.05万元，比上年决算增加1.44万元，增长6.10%,主要原因是：本年在职人员增加，公务员医疗补助较上年增加。</w:t>
      </w:r>
    </w:p>
    <w:p w14:paraId="7705D339">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2.29万元，比上年决算减少0.15万元，下降6.15%,主要原因是：因退休人员医疗保险制度改革，退休人员基本医疗不再由单位缴纳，导致经费较上年减少。</w:t>
      </w:r>
    </w:p>
    <w:p w14:paraId="49D460B8">
      <w:pPr>
        <w:spacing w:line="580" w:lineRule="exact"/>
        <w:ind w:firstLine="640"/>
        <w:jc w:val="both"/>
      </w:pPr>
      <w:r>
        <w:rPr>
          <w:rFonts w:ascii="仿宋_GB2312" w:hAnsi="仿宋_GB2312" w:eastAsia="仿宋_GB2312"/>
          <w:b w:val="0"/>
          <w:sz w:val="32"/>
        </w:rPr>
        <w:t>11.住房保障支出(类)住房改革支出(款)住房公积金(项):支出决算数为109.87万元，比上年决算增加14.26万元，增长14.91%,主要原因是：本年在职人员增加，住房公积金支出较上年增加。</w:t>
      </w:r>
    </w:p>
    <w:p w14:paraId="0FB829E5">
      <w:pPr>
        <w:spacing w:line="580" w:lineRule="exact"/>
        <w:ind w:firstLine="640"/>
        <w:jc w:val="both"/>
      </w:pPr>
      <w:r>
        <w:rPr>
          <w:rFonts w:ascii="仿宋_GB2312" w:hAnsi="仿宋_GB2312" w:eastAsia="仿宋_GB2312"/>
          <w:b w:val="0"/>
          <w:sz w:val="32"/>
        </w:rPr>
        <w:t>12.其他支出(类)其他支出(款)其他支出(项):支出决算数为0.00万元，比上年决算减少5.00万元，下降100.00%,主要原因是：本年减少红星村为民办实事经费项目。</w:t>
      </w:r>
    </w:p>
    <w:p w14:paraId="12DF6BA8">
      <w:pPr>
        <w:spacing w:line="640" w:lineRule="exact"/>
        <w:ind w:firstLine="640"/>
        <w:jc w:val="both"/>
        <w:outlineLvl w:val="2"/>
      </w:pPr>
      <w:r>
        <w:rPr>
          <w:rFonts w:ascii="黑体" w:hAnsi="黑体" w:eastAsia="黑体"/>
          <w:sz w:val="32"/>
        </w:rPr>
        <w:t>六、一般公共预算财政拨款基本支出决算情况说明</w:t>
      </w:r>
    </w:p>
    <w:p w14:paraId="63E1D890">
      <w:pPr>
        <w:spacing w:line="580" w:lineRule="exact"/>
        <w:ind w:firstLine="640"/>
        <w:jc w:val="both"/>
      </w:pPr>
      <w:r>
        <w:rPr>
          <w:rFonts w:ascii="仿宋_GB2312" w:hAnsi="仿宋_GB2312" w:eastAsia="仿宋_GB2312"/>
          <w:b w:val="0"/>
          <w:sz w:val="32"/>
        </w:rPr>
        <w:t>2024年度一般公共预算财政拨款基本支出1,545.51万元，其中：</w:t>
      </w:r>
      <w:r>
        <w:rPr>
          <w:rFonts w:ascii="仿宋_GB2312" w:hAnsi="仿宋_GB2312" w:eastAsia="仿宋_GB2312"/>
          <w:b/>
          <w:sz w:val="32"/>
        </w:rPr>
        <w:t>人员经费1,377.26万元，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4F7164E9">
      <w:pPr>
        <w:spacing w:line="580" w:lineRule="exact"/>
        <w:ind w:firstLine="640"/>
        <w:jc w:val="both"/>
      </w:pPr>
      <w:r>
        <w:rPr>
          <w:rFonts w:ascii="仿宋_GB2312" w:hAnsi="仿宋_GB2312" w:eastAsia="仿宋_GB2312"/>
          <w:b/>
          <w:sz w:val="32"/>
        </w:rPr>
        <w:t>公用经费168.24万元，</w:t>
      </w:r>
      <w:r>
        <w:rPr>
          <w:rFonts w:ascii="仿宋_GB2312" w:hAnsi="仿宋_GB2312" w:eastAsia="仿宋_GB2312"/>
          <w:b w:val="0"/>
          <w:sz w:val="32"/>
        </w:rPr>
        <w:t>包括：办公费、印刷费、水费、电费、邮电费、取暖费、物业管理费、差旅费、维修（护）费、租赁费、培训费、公务接待费、专用材料费、劳务费、委托业务费、工会经费、公务用车运行维护费、其他交通费用、其他商品和服务支出、办公设备购置。</w:t>
      </w:r>
    </w:p>
    <w:p w14:paraId="02F864A4">
      <w:pPr>
        <w:spacing w:line="640" w:lineRule="exact"/>
        <w:ind w:firstLine="640"/>
        <w:jc w:val="both"/>
        <w:outlineLvl w:val="2"/>
      </w:pPr>
      <w:r>
        <w:rPr>
          <w:rFonts w:ascii="黑体" w:hAnsi="黑体" w:eastAsia="黑体"/>
          <w:sz w:val="32"/>
        </w:rPr>
        <w:t>七、政府性基金预算财政拨款收入支出决算情况说明</w:t>
      </w:r>
    </w:p>
    <w:p w14:paraId="7826B036">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5CE33189">
      <w:pPr>
        <w:spacing w:line="640" w:lineRule="exact"/>
        <w:ind w:firstLine="640"/>
        <w:jc w:val="both"/>
        <w:outlineLvl w:val="2"/>
      </w:pPr>
      <w:r>
        <w:rPr>
          <w:rFonts w:ascii="黑体" w:hAnsi="黑体" w:eastAsia="黑体"/>
          <w:sz w:val="32"/>
        </w:rPr>
        <w:t>八、国有资本经营预算财政拨款收入支出决算情况说明</w:t>
      </w:r>
    </w:p>
    <w:p w14:paraId="43B233D7">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FBB4113">
      <w:pPr>
        <w:spacing w:line="640" w:lineRule="exact"/>
        <w:ind w:firstLine="640"/>
        <w:jc w:val="both"/>
        <w:outlineLvl w:val="2"/>
      </w:pPr>
      <w:r>
        <w:rPr>
          <w:rFonts w:ascii="黑体" w:hAnsi="黑体" w:eastAsia="黑体"/>
          <w:sz w:val="32"/>
        </w:rPr>
        <w:t>九、财政拨款“三公”经费支出决算情况说明</w:t>
      </w:r>
    </w:p>
    <w:p w14:paraId="4C4570CD">
      <w:pPr>
        <w:spacing w:line="580" w:lineRule="exact"/>
        <w:ind w:firstLine="640"/>
        <w:jc w:val="both"/>
      </w:pPr>
      <w:r>
        <w:rPr>
          <w:rFonts w:ascii="仿宋_GB2312" w:hAnsi="仿宋_GB2312" w:eastAsia="仿宋_GB2312"/>
          <w:b/>
          <w:sz w:val="32"/>
        </w:rPr>
        <w:t>2024年度财政拨款“三公”经费支出44.93万元，</w:t>
      </w:r>
      <w:r>
        <w:rPr>
          <w:rFonts w:ascii="仿宋_GB2312" w:hAnsi="仿宋_GB2312" w:eastAsia="仿宋_GB2312"/>
          <w:b w:val="0"/>
          <w:sz w:val="32"/>
        </w:rPr>
        <w:t>比上年增加35.96万元，增长400.89%，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41.83万元，占93.10%，比上年增加35.96万元，增长612.61%，主要原因是：本年因业务需求，用车次数增加，燃油费增加，导致公务用车运行维护费较上年增加。公务接待费支出3.10万元，占6.90%，比上年增加0.00万元，增长0.00%，主要原因是：本部门公务接待费与上年一致</w:t>
      </w:r>
      <w:r>
        <w:rPr>
          <w:rFonts w:hint="eastAsia" w:ascii="仿宋_GB2312" w:hAnsi="仿宋_GB2312" w:eastAsia="仿宋_GB2312"/>
          <w:b w:val="0"/>
          <w:sz w:val="32"/>
          <w:lang w:eastAsia="zh-CN"/>
        </w:rPr>
        <w:t>，</w:t>
      </w:r>
      <w:r>
        <w:rPr>
          <w:rFonts w:ascii="仿宋_GB2312" w:hAnsi="仿宋_GB2312" w:eastAsia="仿宋_GB2312"/>
          <w:b w:val="0"/>
          <w:sz w:val="32"/>
        </w:rPr>
        <w:t>无变化。</w:t>
      </w:r>
    </w:p>
    <w:p w14:paraId="366958F7">
      <w:pPr>
        <w:spacing w:line="580" w:lineRule="exact"/>
        <w:ind w:firstLine="640"/>
        <w:jc w:val="both"/>
      </w:pPr>
      <w:r>
        <w:rPr>
          <w:rFonts w:ascii="仿宋_GB2312" w:hAnsi="仿宋_GB2312" w:eastAsia="仿宋_GB2312"/>
          <w:b/>
          <w:sz w:val="32"/>
        </w:rPr>
        <w:t>具体情况如下：</w:t>
      </w:r>
    </w:p>
    <w:p w14:paraId="3DFA0650">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332AD7EF">
      <w:pPr>
        <w:spacing w:line="580" w:lineRule="exact"/>
        <w:ind w:firstLine="640"/>
        <w:jc w:val="both"/>
      </w:pPr>
      <w:r>
        <w:rPr>
          <w:rFonts w:ascii="仿宋_GB2312" w:hAnsi="仿宋_GB2312" w:eastAsia="仿宋_GB2312"/>
          <w:b w:val="0"/>
          <w:sz w:val="32"/>
        </w:rPr>
        <w:t>公务用车购置及运行维护费41.83万元，其中：公务用车购置费35.96万元，公务用车运行维护费5.87万元。公务用车运行维护费开支内容包括车辆加油费、维修费、保险费、审车费、过路费。公务用车购置数2辆，公务用车保有量6辆。国有资产占用情况中固定资产车辆7辆，与公务用车保有量差异原因是：差异车辆为一般业务用车，预算未安排公务用车运行维护费，由其他交通费用保障。</w:t>
      </w:r>
    </w:p>
    <w:p w14:paraId="085CAB00">
      <w:pPr>
        <w:spacing w:line="580" w:lineRule="exact"/>
        <w:ind w:firstLine="640"/>
        <w:jc w:val="both"/>
      </w:pPr>
      <w:r>
        <w:rPr>
          <w:rFonts w:ascii="仿宋_GB2312" w:hAnsi="仿宋_GB2312" w:eastAsia="仿宋_GB2312"/>
          <w:b w:val="0"/>
          <w:sz w:val="32"/>
        </w:rPr>
        <w:t>公务接待费3.10万元，开支内容包括因工作调研、检查，接待上级领导产生的就餐费。部门全年安排的国内公务接待76批次，402人次。</w:t>
      </w:r>
    </w:p>
    <w:p w14:paraId="09F3C51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44.93万元，决算数44.93万元，预决算差异率0.00%，主要原因是：严格按照预算执行，预决算无差异。其中：因公出国（境）费全年预算数0.00万元，决算数0.00万元，预决算差异率0.00%，主要原因是：本部门无因公出国（境）费。公务用车购置费全年预算数35.96万元，决算数35.96万元，预决算差异率0.00%，主要原因是：严格按照预算执行，预决算无差异。公务用车运行维护费全年预算数5.87万元，决算数5.87万元，预决算差异率0.00%，主要原因是：严格按照预算执行，预决算无差异。公务接待费全年预算数3.10万元，决算数3.10万元，预决算差异率0.00%，主要原因是：严格按照预算执行，预决算无差异。</w:t>
      </w:r>
    </w:p>
    <w:p w14:paraId="09219D19">
      <w:pPr>
        <w:spacing w:line="640" w:lineRule="exact"/>
        <w:ind w:firstLine="640"/>
        <w:jc w:val="both"/>
        <w:outlineLvl w:val="2"/>
      </w:pPr>
      <w:r>
        <w:rPr>
          <w:rFonts w:ascii="黑体" w:hAnsi="黑体" w:eastAsia="黑体"/>
          <w:sz w:val="32"/>
        </w:rPr>
        <w:t>十、其他重要事项的情况说明</w:t>
      </w:r>
    </w:p>
    <w:p w14:paraId="47849F0C">
      <w:pPr>
        <w:spacing w:line="640" w:lineRule="exact"/>
        <w:ind w:firstLine="640"/>
        <w:jc w:val="both"/>
        <w:outlineLvl w:val="3"/>
      </w:pPr>
      <w:r>
        <w:rPr>
          <w:rFonts w:ascii="楷体_GB2312" w:hAnsi="楷体_GB2312" w:eastAsia="楷体_GB2312"/>
          <w:b/>
          <w:sz w:val="32"/>
        </w:rPr>
        <w:t>（一）机关运行经费及公用经费支出情况</w:t>
      </w:r>
    </w:p>
    <w:p w14:paraId="630A5414">
      <w:pPr>
        <w:spacing w:line="580" w:lineRule="exact"/>
        <w:ind w:firstLine="640"/>
        <w:jc w:val="both"/>
      </w:pPr>
      <w:r>
        <w:rPr>
          <w:rFonts w:ascii="仿宋_GB2312" w:hAnsi="仿宋_GB2312" w:eastAsia="仿宋_GB2312"/>
          <w:b w:val="0"/>
          <w:sz w:val="32"/>
        </w:rPr>
        <w:t>2024年度中共和硕县纪律检查委员会（部门）（行政单位和参照公务员法管理事业单位）机关运行经费支出168.24万元，比上年增加25.14万元，增长17.57%，主要原因是：本年增加办公费、差旅费、取暖费，导致机关运行经费较上年增加。</w:t>
      </w:r>
    </w:p>
    <w:p w14:paraId="26487356">
      <w:pPr>
        <w:spacing w:line="640" w:lineRule="exact"/>
        <w:ind w:firstLine="640"/>
        <w:jc w:val="both"/>
        <w:outlineLvl w:val="3"/>
      </w:pPr>
      <w:r>
        <w:rPr>
          <w:rFonts w:ascii="楷体_GB2312" w:hAnsi="楷体_GB2312" w:eastAsia="楷体_GB2312"/>
          <w:b/>
          <w:sz w:val="32"/>
        </w:rPr>
        <w:t>（二）政府采购情况</w:t>
      </w:r>
    </w:p>
    <w:p w14:paraId="04A066B6">
      <w:pPr>
        <w:spacing w:line="580" w:lineRule="exact"/>
        <w:ind w:firstLine="640"/>
        <w:jc w:val="both"/>
      </w:pPr>
      <w:r>
        <w:rPr>
          <w:rFonts w:ascii="仿宋_GB2312" w:hAnsi="仿宋_GB2312" w:eastAsia="仿宋_GB2312"/>
          <w:b w:val="0"/>
          <w:sz w:val="32"/>
        </w:rPr>
        <w:t>2024年度政府采购支出总额77.72万元，其中：政府采购货物支出73.72万元、政府采购工程支出0.00万元、政府采购服务支出4.00万元。</w:t>
      </w:r>
    </w:p>
    <w:p w14:paraId="24F183C1">
      <w:pPr>
        <w:spacing w:line="580" w:lineRule="exact"/>
        <w:ind w:firstLine="640"/>
        <w:jc w:val="both"/>
      </w:pPr>
      <w:r>
        <w:rPr>
          <w:rFonts w:ascii="仿宋_GB2312" w:hAnsi="仿宋_GB2312" w:eastAsia="仿宋_GB2312"/>
          <w:b w:val="0"/>
          <w:sz w:val="32"/>
        </w:rPr>
        <w:t>授予中小企业合同金额77.14万元，占政府采购支出总额的99.25%，其中：授予小微企业合同金额69.53万元，占政府采购支出总额的89.46%。</w:t>
      </w:r>
    </w:p>
    <w:p w14:paraId="30410E67">
      <w:pPr>
        <w:spacing w:line="640" w:lineRule="exact"/>
        <w:ind w:firstLine="640"/>
        <w:jc w:val="both"/>
        <w:outlineLvl w:val="3"/>
      </w:pPr>
      <w:r>
        <w:rPr>
          <w:rFonts w:ascii="楷体_GB2312" w:hAnsi="楷体_GB2312" w:eastAsia="楷体_GB2312"/>
          <w:b/>
          <w:sz w:val="32"/>
        </w:rPr>
        <w:t>（三）国有资产占用情况说明</w:t>
      </w:r>
    </w:p>
    <w:p w14:paraId="686A71CB">
      <w:pPr>
        <w:spacing w:line="580" w:lineRule="exact"/>
        <w:ind w:firstLine="640"/>
        <w:jc w:val="both"/>
      </w:pPr>
      <w:r>
        <w:rPr>
          <w:rFonts w:ascii="仿宋_GB2312" w:hAnsi="仿宋_GB2312" w:eastAsia="仿宋_GB2312"/>
          <w:b w:val="0"/>
          <w:sz w:val="32"/>
        </w:rPr>
        <w:t>截至2024年12月31日，房屋2,634.59平方米，价值469.20万元。车辆7辆，价值117.99万元，其中：副部（省）级及以上领导用车0辆、主要负责人用车0辆、机要通信用车0辆、应急保障用车0辆、执法执勤用车6辆、特种专业技术用车0辆、离退休干部服务用车0辆、其他用车1辆，其他用车主要是：单位业务用车。单价100万元（含）以上设备（不含车辆）0台（套）。</w:t>
      </w:r>
    </w:p>
    <w:p w14:paraId="3B437B51">
      <w:pPr>
        <w:spacing w:line="640" w:lineRule="exact"/>
        <w:ind w:firstLine="640"/>
        <w:jc w:val="both"/>
        <w:outlineLvl w:val="2"/>
      </w:pPr>
      <w:r>
        <w:rPr>
          <w:rFonts w:ascii="黑体" w:hAnsi="黑体" w:eastAsia="黑体"/>
          <w:sz w:val="32"/>
        </w:rPr>
        <w:t>十一、预算绩效的情况说明</w:t>
      </w:r>
    </w:p>
    <w:p w14:paraId="6F81D0E1">
      <w:pPr>
        <w:spacing w:line="580" w:lineRule="exact"/>
        <w:ind w:firstLine="640"/>
        <w:jc w:val="both"/>
      </w:pPr>
      <w:r>
        <w:rPr>
          <w:rFonts w:ascii="仿宋_GB2312" w:hAnsi="仿宋_GB2312" w:eastAsia="仿宋_GB2312"/>
          <w:b w:val="0"/>
          <w:sz w:val="32"/>
        </w:rPr>
        <w:t>根据预算绩效管理要求，本部门预算绩效评价项目4个，全年预算数167.11万元，全年执行数165.49万元。预算绩效管理取得的成效：践行“两个维护”更加自觉,纪检监察体制改革成效显著,巡察利剑作用进一步彰显,常态化监督格局日趋完善,专项整治不断走深走实,审查调查工作持续发力,自身建设得到有效加强。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满意度调查工作。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w:t>
      </w:r>
      <w:r>
        <w:rPr>
          <w:rFonts w:hint="eastAsia" w:ascii="仿宋_GB2312" w:hAnsi="仿宋_GB2312" w:eastAsia="仿宋_GB2312"/>
          <w:b w:val="0"/>
          <w:sz w:val="32"/>
          <w:lang w:val="en-US" w:eastAsia="zh-CN"/>
        </w:rPr>
        <w:t>一是</w:t>
      </w:r>
      <w:r>
        <w:rPr>
          <w:rFonts w:ascii="仿宋_GB2312" w:hAnsi="仿宋_GB2312" w:eastAsia="仿宋_GB2312"/>
          <w:b w:val="0"/>
          <w:sz w:val="32"/>
        </w:rPr>
        <w:t>相关绩效管理方面专业知识的系统性学习有待加强。各项指标的设置要进一步优化、完善，主要在细化、量化上改进。在绩效自评过程中，</w:t>
      </w:r>
      <w:r>
        <w:rPr>
          <w:rFonts w:hint="eastAsia" w:ascii="仿宋_GB2312" w:hAnsi="仿宋_GB2312" w:eastAsia="仿宋_GB2312"/>
          <w:b w:val="0"/>
          <w:sz w:val="32"/>
          <w:lang w:eastAsia="zh-CN"/>
        </w:rPr>
        <w:t>由于</w:t>
      </w:r>
      <w:r>
        <w:rPr>
          <w:rFonts w:ascii="仿宋_GB2312" w:hAnsi="仿宋_GB2312" w:eastAsia="仿宋_GB2312"/>
          <w:b w:val="0"/>
          <w:sz w:val="32"/>
        </w:rPr>
        <w:t>部分人员缺</w:t>
      </w:r>
      <w:bookmarkStart w:id="0" w:name="_GoBack"/>
      <w:bookmarkEnd w:id="0"/>
      <w:r>
        <w:rPr>
          <w:rFonts w:ascii="仿宋_GB2312" w:hAnsi="仿宋_GB2312" w:eastAsia="仿宋_GB2312"/>
          <w:b w:val="0"/>
          <w:sz w:val="32"/>
        </w:rPr>
        <w:t>乏相关绩效管理专业知识，评价工作还存在自我审定的局限性，影响评价质量。</w:t>
      </w:r>
      <w:r>
        <w:rPr>
          <w:rFonts w:hint="eastAsia" w:ascii="仿宋_GB2312" w:hAnsi="仿宋_GB2312" w:eastAsia="仿宋_GB2312"/>
          <w:b w:val="0"/>
          <w:sz w:val="32"/>
          <w:lang w:val="en-US" w:eastAsia="zh-CN"/>
        </w:rPr>
        <w:t>二是</w:t>
      </w:r>
      <w:r>
        <w:rPr>
          <w:rFonts w:ascii="仿宋_GB2312" w:hAnsi="仿宋_GB2312" w:eastAsia="仿宋_GB2312"/>
          <w:b w:val="0"/>
          <w:sz w:val="32"/>
        </w:rPr>
        <w:t>绩效指标设计的合理性有待提高，因我县巡察工作任务安排有时需要根据上级党委工作安排临时进行调整，所以在一定的程度上致使项目绩效指标设置、量化、细化上不够精准，出现偏差，在实际实施绩效监控和绩效评价时较为困难。</w:t>
      </w:r>
      <w:r>
        <w:rPr>
          <w:rFonts w:hint="eastAsia" w:ascii="仿宋_GB2312" w:hAnsi="仿宋_GB2312" w:eastAsia="仿宋_GB2312"/>
          <w:b w:val="0"/>
          <w:sz w:val="32"/>
          <w:lang w:val="en-US" w:eastAsia="zh-CN"/>
        </w:rPr>
        <w:t>三是</w:t>
      </w:r>
      <w:r>
        <w:rPr>
          <w:rFonts w:ascii="仿宋_GB2312" w:hAnsi="仿宋_GB2312" w:eastAsia="仿宋_GB2312"/>
          <w:b w:val="0"/>
          <w:sz w:val="32"/>
        </w:rPr>
        <w:t>因指标设置不当，导致资金未使用完。下一步改进措施：一是多进行有关绩效管理工作方面的培训。积极参加第三方开展绩效管理工作培训，进一步夯实业务基础，提高我单位绩效人员水平。二是进一步规范项目建设的程序。加强工作统筹，及时向上级党委和州级巡察机构请示汇报，根据上级工作任务安排，进一步明确绩效目标、资金使用管理责任，完善绩效自评工作流程，细化实施方案，使项目实施目标的</w:t>
      </w:r>
      <w:r>
        <w:rPr>
          <w:rFonts w:hint="eastAsia" w:ascii="仿宋_GB2312" w:hAnsi="仿宋_GB2312" w:eastAsia="仿宋_GB2312"/>
          <w:b w:val="0"/>
          <w:sz w:val="32"/>
          <w:lang w:eastAsia="zh-CN"/>
        </w:rPr>
        <w:t>设置</w:t>
      </w:r>
      <w:r>
        <w:rPr>
          <w:rFonts w:ascii="仿宋_GB2312" w:hAnsi="仿宋_GB2312" w:eastAsia="仿宋_GB2312"/>
          <w:b w:val="0"/>
          <w:sz w:val="32"/>
        </w:rPr>
        <w:t>符合量化、细化的要求。严格执行资金管理办法和财政资金管理制度，按照项目实施方案稳步推进工作。具体附项目支出绩效自评表和部门评价报告。</w:t>
      </w:r>
    </w:p>
    <w:p w14:paraId="4A013FCA">
      <w:r>
        <w:br w:type="page"/>
      </w:r>
    </w:p>
    <w:tbl>
      <w:tblPr>
        <w:tblStyle w:val="9"/>
        <w:tblW w:w="0" w:type="auto"/>
        <w:tblInd w:w="0" w:type="dxa"/>
        <w:tblLayout w:type="autofit"/>
        <w:tblCellMar>
          <w:top w:w="0" w:type="dxa"/>
          <w:left w:w="108" w:type="dxa"/>
          <w:bottom w:w="0" w:type="dxa"/>
          <w:right w:w="108" w:type="dxa"/>
        </w:tblCellMar>
      </w:tblPr>
      <w:tblGrid>
        <w:gridCol w:w="622"/>
        <w:gridCol w:w="607"/>
        <w:gridCol w:w="607"/>
        <w:gridCol w:w="607"/>
        <w:gridCol w:w="776"/>
        <w:gridCol w:w="607"/>
        <w:gridCol w:w="607"/>
        <w:gridCol w:w="615"/>
        <w:gridCol w:w="607"/>
        <w:gridCol w:w="607"/>
        <w:gridCol w:w="696"/>
        <w:gridCol w:w="776"/>
        <w:gridCol w:w="696"/>
        <w:gridCol w:w="630"/>
      </w:tblGrid>
      <w:tr w14:paraId="21AB6B09">
        <w:tblPrEx>
          <w:tblCellMar>
            <w:top w:w="0" w:type="dxa"/>
            <w:left w:w="108" w:type="dxa"/>
            <w:bottom w:w="0" w:type="dxa"/>
            <w:right w:w="108" w:type="dxa"/>
          </w:tblCellMar>
        </w:tblPrEx>
        <w:tc>
          <w:tcPr>
            <w:tcW w:w="8848" w:type="dxa"/>
            <w:gridSpan w:val="14"/>
            <w:vAlign w:val="center"/>
          </w:tcPr>
          <w:p w14:paraId="04C0E780">
            <w:pPr>
              <w:jc w:val="center"/>
            </w:pPr>
            <w:r>
              <w:rPr>
                <w:rFonts w:ascii="宋体" w:hAnsi="宋体" w:eastAsia="宋体"/>
                <w:sz w:val="24"/>
              </w:rPr>
              <w:t>项目支出绩效自评表</w:t>
            </w:r>
          </w:p>
        </w:tc>
      </w:tr>
      <w:tr w14:paraId="307F4B31">
        <w:tblPrEx>
          <w:tblCellMar>
            <w:top w:w="0" w:type="dxa"/>
            <w:left w:w="108" w:type="dxa"/>
            <w:bottom w:w="0" w:type="dxa"/>
            <w:right w:w="108" w:type="dxa"/>
          </w:tblCellMar>
        </w:tblPrEx>
        <w:tc>
          <w:tcPr>
            <w:tcW w:w="8848" w:type="dxa"/>
            <w:gridSpan w:val="14"/>
            <w:vAlign w:val="center"/>
          </w:tcPr>
          <w:p w14:paraId="21A77844">
            <w:pPr>
              <w:jc w:val="center"/>
            </w:pPr>
            <w:r>
              <w:rPr>
                <w:rFonts w:ascii="宋体" w:hAnsi="宋体" w:eastAsia="宋体"/>
                <w:sz w:val="24"/>
              </w:rPr>
              <w:t>(2024年度)</w:t>
            </w:r>
          </w:p>
        </w:tc>
      </w:tr>
      <w:tr w14:paraId="02C2FA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1CF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92F391">
            <w:pPr>
              <w:jc w:val="center"/>
            </w:pPr>
            <w:r>
              <w:rPr>
                <w:rFonts w:ascii="宋体" w:hAnsi="宋体" w:eastAsia="宋体"/>
                <w:sz w:val="16"/>
              </w:rPr>
              <w:t>2023年新时代廉洁文化建设（上年结转）</w:t>
            </w:r>
          </w:p>
        </w:tc>
      </w:tr>
      <w:tr w14:paraId="735F4E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0D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87150D">
            <w:pPr>
              <w:jc w:val="center"/>
            </w:pPr>
            <w:r>
              <w:rPr>
                <w:rFonts w:ascii="宋体" w:hAnsi="宋体" w:eastAsia="宋体"/>
                <w:sz w:val="16"/>
              </w:rPr>
              <w:t>中共和硕县纪律检查委员会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79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E691D2">
            <w:pPr>
              <w:jc w:val="center"/>
            </w:pPr>
            <w:r>
              <w:rPr>
                <w:rFonts w:ascii="宋体" w:hAnsi="宋体" w:eastAsia="宋体"/>
                <w:sz w:val="16"/>
              </w:rPr>
              <w:t>中共和硕县纪律检查委员会</w:t>
            </w:r>
          </w:p>
        </w:tc>
      </w:tr>
      <w:tr w14:paraId="5D4D63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3C28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6C44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A5A8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337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E39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48E3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146D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3ADA">
            <w:pPr>
              <w:jc w:val="center"/>
            </w:pPr>
            <w:r>
              <w:rPr>
                <w:rFonts w:ascii="宋体" w:hAnsi="宋体" w:eastAsia="宋体"/>
                <w:sz w:val="16"/>
              </w:rPr>
              <w:t>得分</w:t>
            </w:r>
          </w:p>
        </w:tc>
      </w:tr>
      <w:tr w14:paraId="62502F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B4EC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7C5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38904">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FFBD1">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B21D6">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1484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7D23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762C">
            <w:pPr>
              <w:jc w:val="center"/>
            </w:pPr>
            <w:r>
              <w:rPr>
                <w:rFonts w:ascii="宋体" w:hAnsi="宋体" w:eastAsia="宋体"/>
                <w:sz w:val="16"/>
              </w:rPr>
              <w:t>10.00</w:t>
            </w:r>
          </w:p>
        </w:tc>
      </w:tr>
      <w:tr w14:paraId="4E6DD5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033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9AA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E7864">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DAB3E">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04A38">
            <w:pPr>
              <w:jc w:val="center"/>
            </w:pPr>
            <w:r>
              <w:rPr>
                <w:rFonts w:ascii="宋体" w:hAnsi="宋体" w:eastAsia="宋体"/>
                <w:sz w:val="16"/>
              </w:rPr>
              <w:t>12.15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CED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0D4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6AB1">
            <w:pPr>
              <w:jc w:val="center"/>
            </w:pPr>
            <w:r>
              <w:rPr>
                <w:rFonts w:ascii="宋体" w:hAnsi="宋体" w:eastAsia="宋体"/>
                <w:sz w:val="16"/>
              </w:rPr>
              <w:t>-</w:t>
            </w:r>
          </w:p>
        </w:tc>
      </w:tr>
      <w:tr w14:paraId="1A3E76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2EB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8D6D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EA7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43F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FE32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4E1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72D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C55D9">
            <w:pPr>
              <w:jc w:val="center"/>
            </w:pPr>
            <w:r>
              <w:rPr>
                <w:rFonts w:ascii="宋体" w:hAnsi="宋体" w:eastAsia="宋体"/>
                <w:sz w:val="16"/>
              </w:rPr>
              <w:t>-</w:t>
            </w:r>
          </w:p>
        </w:tc>
      </w:tr>
      <w:tr w14:paraId="0B3DC2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22E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E4788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E26C42">
            <w:pPr>
              <w:jc w:val="center"/>
            </w:pPr>
            <w:r>
              <w:rPr>
                <w:rFonts w:ascii="宋体" w:hAnsi="宋体" w:eastAsia="宋体"/>
                <w:sz w:val="16"/>
              </w:rPr>
              <w:t>总体目标完成情况</w:t>
            </w:r>
          </w:p>
        </w:tc>
      </w:tr>
      <w:tr w14:paraId="109022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C21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397FEC">
            <w:pPr>
              <w:jc w:val="both"/>
            </w:pPr>
            <w:r>
              <w:rPr>
                <w:rFonts w:ascii="宋体" w:hAnsi="宋体" w:eastAsia="宋体"/>
                <w:sz w:val="16"/>
              </w:rPr>
              <w:t>根据《自治州关于加强新时代廉洁文化建设的实施方案》巴党办发</w:t>
            </w:r>
            <w:r>
              <w:rPr>
                <w:rFonts w:hint="eastAsia" w:ascii="宋体" w:hAnsi="宋体"/>
                <w:sz w:val="16"/>
                <w:lang w:eastAsia="zh-CN"/>
              </w:rPr>
              <w:t>〔2022〕17号</w:t>
            </w:r>
            <w:r>
              <w:rPr>
                <w:rFonts w:ascii="宋体" w:hAnsi="宋体" w:eastAsia="宋体"/>
                <w:sz w:val="16"/>
              </w:rPr>
              <w:t>文件，把廉洁文化建设纳入全州廉政建设和反腐败工作大局统筹谋划，进一步整合资源，因地制宜，拍摄2部警示教育片，引导党员干部牢固树立党章党规党纪意识，做到守纪律、讲规矩、知敬畏、存戒惧，从而营造“不敢腐、不能腐、不想腐”的良好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07464">
            <w:pPr>
              <w:jc w:val="both"/>
            </w:pPr>
            <w:r>
              <w:rPr>
                <w:rFonts w:ascii="宋体" w:hAnsi="宋体" w:eastAsia="宋体"/>
                <w:sz w:val="16"/>
              </w:rPr>
              <w:t>完成制作警示教育片2部，全覆盖播放，有效提升党员干部牢固树立党章党规党纪意识，做到守纪律、讲规矩、知敬畏、存戒惧，从而营造“不敢腐、不能腐、不想腐”的良好氛围。</w:t>
            </w:r>
          </w:p>
        </w:tc>
      </w:tr>
      <w:tr w14:paraId="559DB1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52E8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F6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B87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2311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FB3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15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847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0A3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568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4D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FBD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5A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A3D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3AE21">
            <w:pPr>
              <w:jc w:val="center"/>
            </w:pPr>
            <w:r>
              <w:rPr>
                <w:rFonts w:ascii="宋体" w:hAnsi="宋体" w:eastAsia="宋体"/>
                <w:sz w:val="16"/>
              </w:rPr>
              <w:t>偏差原因分析及改进措施</w:t>
            </w:r>
          </w:p>
        </w:tc>
      </w:tr>
      <w:tr w14:paraId="218F22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0C7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B1B1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D88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6A71">
            <w:pPr>
              <w:jc w:val="center"/>
            </w:pPr>
            <w:r>
              <w:rPr>
                <w:rFonts w:ascii="宋体" w:hAnsi="宋体" w:eastAsia="宋体"/>
                <w:sz w:val="16"/>
              </w:rPr>
              <w:t>制作警示教育片数量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14891">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43B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68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89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836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11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BD493">
            <w:pPr>
              <w:jc w:val="center"/>
            </w:pPr>
            <w:r>
              <w:rPr>
                <w:rFonts w:ascii="宋体" w:hAnsi="宋体" w:eastAsia="宋体"/>
                <w:sz w:val="16"/>
              </w:rPr>
              <w:t>=2部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5C0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E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CB569">
            <w:pPr>
              <w:jc w:val="center"/>
            </w:pPr>
          </w:p>
        </w:tc>
      </w:tr>
      <w:tr w14:paraId="55A19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046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7A5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2660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0C095">
            <w:pPr>
              <w:jc w:val="center"/>
            </w:pPr>
            <w:r>
              <w:rPr>
                <w:rFonts w:ascii="宋体" w:hAnsi="宋体" w:eastAsia="宋体"/>
                <w:sz w:val="16"/>
              </w:rPr>
              <w:t>警示教育片验收合格率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2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68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10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91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EC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26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E7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EC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87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2A81">
            <w:pPr>
              <w:jc w:val="center"/>
            </w:pPr>
          </w:p>
        </w:tc>
      </w:tr>
      <w:tr w14:paraId="44B209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CE0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9F4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AF5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38A8">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CD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45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9D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9D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E1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87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AD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0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56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A2B2">
            <w:pPr>
              <w:jc w:val="center"/>
            </w:pPr>
          </w:p>
        </w:tc>
      </w:tr>
      <w:tr w14:paraId="5565E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CBC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FDC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4873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B186">
            <w:pPr>
              <w:jc w:val="center"/>
            </w:pPr>
            <w:r>
              <w:rPr>
                <w:rFonts w:ascii="宋体" w:hAnsi="宋体" w:eastAsia="宋体"/>
                <w:sz w:val="16"/>
              </w:rPr>
              <w:t>按计划制作完成时间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331D6">
            <w:pPr>
              <w:jc w:val="center"/>
            </w:pPr>
            <w:r>
              <w:rPr>
                <w:rFonts w:ascii="宋体" w:hAnsi="宋体" w:eastAsia="宋体"/>
                <w:sz w:val="16"/>
              </w:rPr>
              <w:t>2024年10月前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6E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8D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4F7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C27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D45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2B9A4">
            <w:pPr>
              <w:jc w:val="center"/>
            </w:pPr>
            <w:r>
              <w:rPr>
                <w:rFonts w:ascii="宋体" w:hAnsi="宋体" w:eastAsia="宋体"/>
                <w:sz w:val="16"/>
              </w:rPr>
              <w:t>2024年6月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1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71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F3A7">
            <w:pPr>
              <w:jc w:val="center"/>
            </w:pPr>
          </w:p>
        </w:tc>
      </w:tr>
      <w:tr w14:paraId="06DC7D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3FC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D7D7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88E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A7DAB">
            <w:pPr>
              <w:jc w:val="center"/>
            </w:pPr>
            <w:r>
              <w:rPr>
                <w:rFonts w:ascii="宋体" w:hAnsi="宋体" w:eastAsia="宋体"/>
                <w:sz w:val="16"/>
              </w:rPr>
              <w:t>警示教育片制作资金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C467">
            <w:pPr>
              <w:jc w:val="center"/>
            </w:pPr>
            <w:r>
              <w:rPr>
                <w:rFonts w:ascii="宋体" w:hAnsi="宋体" w:eastAsia="宋体"/>
                <w:sz w:val="16"/>
              </w:rPr>
              <w:t>&lt;=60750元/部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D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B28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75E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99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9C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307E7">
            <w:pPr>
              <w:jc w:val="center"/>
            </w:pPr>
            <w:r>
              <w:rPr>
                <w:rFonts w:ascii="宋体" w:hAnsi="宋体" w:eastAsia="宋体"/>
                <w:sz w:val="16"/>
              </w:rPr>
              <w:t>=60750元/部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11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B4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3E70">
            <w:pPr>
              <w:jc w:val="center"/>
            </w:pPr>
          </w:p>
        </w:tc>
      </w:tr>
      <w:tr w14:paraId="33FC4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EA8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0A4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64D4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A65CA">
            <w:pPr>
              <w:jc w:val="center"/>
            </w:pPr>
            <w:r>
              <w:rPr>
                <w:rFonts w:ascii="宋体" w:hAnsi="宋体" w:eastAsia="宋体"/>
                <w:sz w:val="16"/>
              </w:rPr>
              <w:t>受教育人数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C07A">
            <w:pPr>
              <w:jc w:val="center"/>
            </w:pPr>
            <w:r>
              <w:rPr>
                <w:rFonts w:ascii="宋体" w:hAnsi="宋体" w:eastAsia="宋体"/>
                <w:sz w:val="16"/>
              </w:rPr>
              <w:t>&gt;=500人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7D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9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272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F3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A9D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8973">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E9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54B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257A9">
            <w:pPr>
              <w:jc w:val="center"/>
            </w:pPr>
          </w:p>
        </w:tc>
      </w:tr>
      <w:tr w14:paraId="0C5BB8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B86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1D7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72C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B8EA">
            <w:pPr>
              <w:jc w:val="center"/>
            </w:pPr>
            <w:r>
              <w:rPr>
                <w:rFonts w:ascii="宋体" w:hAnsi="宋体" w:eastAsia="宋体"/>
                <w:sz w:val="16"/>
              </w:rPr>
              <w:t>党员干部满意度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5F4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C1F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B5B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9F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A6B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FB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736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5B0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1F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B785F">
            <w:pPr>
              <w:jc w:val="center"/>
            </w:pPr>
            <w:r>
              <w:rPr>
                <w:rFonts w:ascii="宋体" w:hAnsi="宋体" w:eastAsia="宋体"/>
                <w:sz w:val="16"/>
              </w:rPr>
              <w:t>原因分析：工作完成较好，超出预期指标。改进措施：今后工作从高从严设置指标。</w:t>
            </w:r>
          </w:p>
        </w:tc>
      </w:tr>
      <w:tr w14:paraId="33AA867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5EBF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E8B8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847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03B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01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428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353B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892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AC7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2BE0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C8E682"/>
        </w:tc>
      </w:tr>
    </w:tbl>
    <w:p w14:paraId="11C3B21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96"/>
        <w:gridCol w:w="632"/>
        <w:gridCol w:w="632"/>
      </w:tblGrid>
      <w:tr w14:paraId="7D209927">
        <w:tblPrEx>
          <w:tblCellMar>
            <w:top w:w="0" w:type="dxa"/>
            <w:left w:w="108" w:type="dxa"/>
            <w:bottom w:w="0" w:type="dxa"/>
            <w:right w:w="108" w:type="dxa"/>
          </w:tblCellMar>
        </w:tblPrEx>
        <w:tc>
          <w:tcPr>
            <w:tcW w:w="8848" w:type="dxa"/>
            <w:gridSpan w:val="14"/>
            <w:vAlign w:val="center"/>
          </w:tcPr>
          <w:p w14:paraId="3DED137B">
            <w:pPr>
              <w:jc w:val="center"/>
            </w:pPr>
            <w:r>
              <w:rPr>
                <w:rFonts w:ascii="宋体" w:hAnsi="宋体" w:eastAsia="宋体"/>
                <w:sz w:val="24"/>
              </w:rPr>
              <w:t>项目支出绩效自评表</w:t>
            </w:r>
          </w:p>
        </w:tc>
      </w:tr>
      <w:tr w14:paraId="20998119">
        <w:tblPrEx>
          <w:tblCellMar>
            <w:top w:w="0" w:type="dxa"/>
            <w:left w:w="108" w:type="dxa"/>
            <w:bottom w:w="0" w:type="dxa"/>
            <w:right w:w="108" w:type="dxa"/>
          </w:tblCellMar>
        </w:tblPrEx>
        <w:tc>
          <w:tcPr>
            <w:tcW w:w="8848" w:type="dxa"/>
            <w:gridSpan w:val="14"/>
            <w:vAlign w:val="center"/>
          </w:tcPr>
          <w:p w14:paraId="5C362326">
            <w:pPr>
              <w:jc w:val="center"/>
            </w:pPr>
            <w:r>
              <w:rPr>
                <w:rFonts w:ascii="宋体" w:hAnsi="宋体" w:eastAsia="宋体"/>
                <w:sz w:val="24"/>
              </w:rPr>
              <w:t>(2024年度)</w:t>
            </w:r>
          </w:p>
        </w:tc>
      </w:tr>
      <w:tr w14:paraId="6B9294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27D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EE1AB6">
            <w:pPr>
              <w:jc w:val="center"/>
            </w:pPr>
            <w:r>
              <w:rPr>
                <w:rFonts w:ascii="宋体" w:hAnsi="宋体" w:eastAsia="宋体"/>
                <w:sz w:val="16"/>
              </w:rPr>
              <w:t>2024年和硕县纪委监委办案经费</w:t>
            </w:r>
          </w:p>
        </w:tc>
      </w:tr>
      <w:tr w14:paraId="455E17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AC7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A1FA72">
            <w:pPr>
              <w:jc w:val="center"/>
            </w:pPr>
            <w:r>
              <w:rPr>
                <w:rFonts w:ascii="宋体" w:hAnsi="宋体" w:eastAsia="宋体"/>
                <w:sz w:val="16"/>
              </w:rPr>
              <w:t>中共和硕县纪律检查委员会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58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95DD59">
            <w:pPr>
              <w:jc w:val="center"/>
            </w:pPr>
            <w:r>
              <w:rPr>
                <w:rFonts w:ascii="宋体" w:hAnsi="宋体" w:eastAsia="宋体"/>
                <w:sz w:val="16"/>
              </w:rPr>
              <w:t>中共和硕县纪律检查委员会</w:t>
            </w:r>
          </w:p>
        </w:tc>
      </w:tr>
      <w:tr w14:paraId="0E0361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A2F9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9E9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242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068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972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1BD7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59A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4BCAD">
            <w:pPr>
              <w:jc w:val="center"/>
            </w:pPr>
            <w:r>
              <w:rPr>
                <w:rFonts w:ascii="宋体" w:hAnsi="宋体" w:eastAsia="宋体"/>
                <w:sz w:val="16"/>
              </w:rPr>
              <w:t>得分</w:t>
            </w:r>
          </w:p>
        </w:tc>
      </w:tr>
      <w:tr w14:paraId="1589EE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0C46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919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60085">
            <w:pPr>
              <w:jc w:val="center"/>
            </w:pPr>
            <w:r>
              <w:rPr>
                <w:rFonts w:ascii="宋体" w:hAnsi="宋体" w:eastAsia="宋体"/>
                <w:sz w:val="16"/>
              </w:rPr>
              <w:t>106.40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73862">
            <w:pPr>
              <w:jc w:val="center"/>
            </w:pPr>
            <w:r>
              <w:rPr>
                <w:rFonts w:ascii="宋体" w:hAnsi="宋体" w:eastAsia="宋体"/>
                <w:sz w:val="16"/>
              </w:rPr>
              <w:t>106.40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709EF">
            <w:pPr>
              <w:jc w:val="center"/>
            </w:pPr>
            <w:r>
              <w:rPr>
                <w:rFonts w:ascii="宋体" w:hAnsi="宋体" w:eastAsia="宋体"/>
                <w:sz w:val="16"/>
              </w:rPr>
              <w:t>104.93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80C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F8E7A">
            <w:pPr>
              <w:jc w:val="center"/>
            </w:pPr>
            <w:r>
              <w:rPr>
                <w:rFonts w:ascii="宋体" w:hAnsi="宋体" w:eastAsia="宋体"/>
                <w:sz w:val="16"/>
              </w:rPr>
              <w:t>98.62%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F0BA">
            <w:pPr>
              <w:jc w:val="center"/>
            </w:pPr>
            <w:r>
              <w:rPr>
                <w:rFonts w:ascii="宋体" w:hAnsi="宋体" w:eastAsia="宋体"/>
                <w:sz w:val="16"/>
              </w:rPr>
              <w:t>9.66</w:t>
            </w:r>
          </w:p>
        </w:tc>
      </w:tr>
      <w:tr w14:paraId="74F5F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0E1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81B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EBDA4">
            <w:pPr>
              <w:jc w:val="center"/>
            </w:pPr>
            <w:r>
              <w:rPr>
                <w:rFonts w:ascii="宋体" w:hAnsi="宋体" w:eastAsia="宋体"/>
                <w:sz w:val="16"/>
              </w:rPr>
              <w:t>106.40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F1208">
            <w:pPr>
              <w:jc w:val="center"/>
            </w:pPr>
            <w:r>
              <w:rPr>
                <w:rFonts w:ascii="宋体" w:hAnsi="宋体" w:eastAsia="宋体"/>
                <w:sz w:val="16"/>
              </w:rPr>
              <w:t>106.40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F7B93">
            <w:pPr>
              <w:jc w:val="center"/>
            </w:pPr>
            <w:r>
              <w:rPr>
                <w:rFonts w:ascii="宋体" w:hAnsi="宋体" w:eastAsia="宋体"/>
                <w:sz w:val="16"/>
              </w:rPr>
              <w:t>104.93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6C0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D95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B93B">
            <w:pPr>
              <w:jc w:val="center"/>
            </w:pPr>
            <w:r>
              <w:rPr>
                <w:rFonts w:ascii="宋体" w:hAnsi="宋体" w:eastAsia="宋体"/>
                <w:sz w:val="16"/>
              </w:rPr>
              <w:t>-</w:t>
            </w:r>
          </w:p>
        </w:tc>
      </w:tr>
      <w:tr w14:paraId="70461E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333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672B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35F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57B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7E2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B85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C27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9C2E9">
            <w:pPr>
              <w:jc w:val="center"/>
            </w:pPr>
            <w:r>
              <w:rPr>
                <w:rFonts w:ascii="宋体" w:hAnsi="宋体" w:eastAsia="宋体"/>
                <w:sz w:val="16"/>
              </w:rPr>
              <w:t>-</w:t>
            </w:r>
          </w:p>
        </w:tc>
      </w:tr>
      <w:tr w14:paraId="17A5FC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DC9F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B92D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8A879B">
            <w:pPr>
              <w:jc w:val="center"/>
            </w:pPr>
            <w:r>
              <w:rPr>
                <w:rFonts w:ascii="宋体" w:hAnsi="宋体" w:eastAsia="宋体"/>
                <w:sz w:val="16"/>
              </w:rPr>
              <w:t>总体目标完成情况</w:t>
            </w:r>
          </w:p>
        </w:tc>
      </w:tr>
      <w:tr w14:paraId="5835FC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B66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1D8DCA">
            <w:pPr>
              <w:jc w:val="both"/>
            </w:pPr>
            <w:r>
              <w:rPr>
                <w:rFonts w:ascii="宋体" w:hAnsi="宋体" w:eastAsia="宋体"/>
                <w:sz w:val="16"/>
              </w:rPr>
              <w:t>依据《和硕县贯彻落实关于加强自治州县级纪检监察机关建设的实施意见的通知》和党办</w:t>
            </w:r>
            <w:r>
              <w:rPr>
                <w:rFonts w:hint="eastAsia" w:ascii="宋体" w:hAnsi="宋体"/>
                <w:sz w:val="16"/>
                <w:lang w:eastAsia="zh-CN"/>
              </w:rPr>
              <w:t>〔2010〕35号</w:t>
            </w:r>
            <w:r>
              <w:rPr>
                <w:rFonts w:ascii="宋体" w:hAnsi="宋体" w:eastAsia="宋体"/>
                <w:sz w:val="16"/>
              </w:rPr>
              <w:t>文件精神，建立健全县级纪检监察机关经费保障制度，提高基层纪检监察机关日常运行、办公场所建设、设备配备、车辆运行等经费的保障。促进县乡两级纪检监察机关规范化建设，激励纪检干部队伍建设。全年38人开展审查调查100件，深化国家监察体制改革，持续正风肃纪，高压惩治腐败，扎实开展好监督检查、执纪审查、执法调查等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16CD91">
            <w:pPr>
              <w:jc w:val="both"/>
            </w:pPr>
            <w:r>
              <w:rPr>
                <w:rFonts w:ascii="宋体" w:hAnsi="宋体" w:eastAsia="宋体"/>
                <w:sz w:val="16"/>
              </w:rPr>
              <w:t>保障了单位办案人员38人开展各项工作，完成审查调查102件，立案案件办结率89.47%，线索处置率达100%，信访举报办结率达98.04%，保障单位日常运转，高效强化纪律审查，保持惩治腐败高压态势。</w:t>
            </w:r>
          </w:p>
        </w:tc>
      </w:tr>
      <w:tr w14:paraId="7DA540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2499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B5F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67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C1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A9E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2E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0499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C9FA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3F3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C352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C14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2A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44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0A775">
            <w:pPr>
              <w:jc w:val="center"/>
            </w:pPr>
            <w:r>
              <w:rPr>
                <w:rFonts w:ascii="宋体" w:hAnsi="宋体" w:eastAsia="宋体"/>
                <w:sz w:val="16"/>
              </w:rPr>
              <w:t>偏差原因分析及改进措施</w:t>
            </w:r>
          </w:p>
        </w:tc>
      </w:tr>
      <w:tr w14:paraId="6B18C1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EA4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25525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FF1A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EED27">
            <w:pPr>
              <w:jc w:val="center"/>
            </w:pPr>
            <w:r>
              <w:rPr>
                <w:rFonts w:ascii="宋体" w:hAnsi="宋体" w:eastAsia="宋体"/>
                <w:sz w:val="16"/>
              </w:rPr>
              <w:t>审查调查次数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3A895">
            <w:pPr>
              <w:jc w:val="center"/>
            </w:pPr>
            <w:r>
              <w:rPr>
                <w:rFonts w:ascii="宋体" w:hAnsi="宋体" w:eastAsia="宋体"/>
                <w:sz w:val="16"/>
              </w:rPr>
              <w:t>&gt;=100件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35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99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1C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D0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5349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50D73">
            <w:pPr>
              <w:jc w:val="center"/>
            </w:pPr>
            <w:r>
              <w:rPr>
                <w:rFonts w:ascii="宋体" w:hAnsi="宋体" w:eastAsia="宋体"/>
                <w:sz w:val="16"/>
              </w:rPr>
              <w:t>=102件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0DCB">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C59D">
            <w:pPr>
              <w:jc w:val="center"/>
            </w:pPr>
            <w:r>
              <w:rPr>
                <w:rFonts w:ascii="宋体" w:hAnsi="宋体" w:eastAsia="宋体"/>
                <w:sz w:val="16"/>
              </w:rPr>
              <w:t>5.88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7FEC">
            <w:pPr>
              <w:jc w:val="center"/>
            </w:pPr>
            <w:r>
              <w:rPr>
                <w:rFonts w:ascii="宋体" w:hAnsi="宋体" w:eastAsia="宋体"/>
                <w:sz w:val="16"/>
              </w:rPr>
              <w:t>原因分析：工作人员积极性高涨，提升工作效率，超计划完成指标数。整改措施：今后工作从高从严设置指标。</w:t>
            </w:r>
          </w:p>
        </w:tc>
      </w:tr>
      <w:tr w14:paraId="64AF2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79D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6FC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557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3C658">
            <w:pPr>
              <w:jc w:val="center"/>
            </w:pPr>
            <w:r>
              <w:rPr>
                <w:rFonts w:ascii="宋体" w:hAnsi="宋体" w:eastAsia="宋体"/>
                <w:sz w:val="16"/>
              </w:rPr>
              <w:t>办案人员数量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C3ED">
            <w:pPr>
              <w:jc w:val="center"/>
            </w:pPr>
            <w:r>
              <w:rPr>
                <w:rFonts w:ascii="宋体" w:hAnsi="宋体" w:eastAsia="宋体"/>
                <w:sz w:val="16"/>
              </w:rPr>
              <w:t>&gt;=38人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51C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400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8D8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CBB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03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245B">
            <w:pPr>
              <w:jc w:val="center"/>
            </w:pPr>
            <w:r>
              <w:rPr>
                <w:rFonts w:ascii="宋体" w:hAnsi="宋体" w:eastAsia="宋体"/>
                <w:sz w:val="16"/>
              </w:rPr>
              <w:t>=38人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B3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E6D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F6ED">
            <w:pPr>
              <w:jc w:val="center"/>
            </w:pPr>
          </w:p>
        </w:tc>
      </w:tr>
      <w:tr w14:paraId="4F19A1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338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0B4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20EF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3DE2D">
            <w:pPr>
              <w:jc w:val="center"/>
            </w:pPr>
            <w:r>
              <w:rPr>
                <w:rFonts w:ascii="宋体" w:hAnsi="宋体" w:eastAsia="宋体"/>
                <w:sz w:val="16"/>
              </w:rPr>
              <w:t>问题线索处置率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21E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43D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C8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C017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740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C77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09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83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100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3656F">
            <w:pPr>
              <w:jc w:val="center"/>
            </w:pPr>
          </w:p>
        </w:tc>
      </w:tr>
      <w:tr w14:paraId="21F109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A22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B4B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AA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36591">
            <w:pPr>
              <w:jc w:val="center"/>
            </w:pPr>
            <w:r>
              <w:rPr>
                <w:rFonts w:ascii="宋体" w:hAnsi="宋体" w:eastAsia="宋体"/>
                <w:sz w:val="16"/>
              </w:rPr>
              <w:t>立案案件办结率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19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F9E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4C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D0A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F5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1849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E8DC2">
            <w:pPr>
              <w:jc w:val="center"/>
            </w:pPr>
            <w:r>
              <w:rPr>
                <w:rFonts w:ascii="宋体" w:hAnsi="宋体" w:eastAsia="宋体"/>
                <w:sz w:val="16"/>
              </w:rPr>
              <w:t>=89.47%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0B96">
            <w:pPr>
              <w:jc w:val="center"/>
            </w:pPr>
            <w:r>
              <w:rPr>
                <w:rFonts w:ascii="宋体" w:hAnsi="宋体" w:eastAsia="宋体"/>
                <w:sz w:val="16"/>
              </w:rPr>
              <w:t>89.47%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FE55">
            <w:pPr>
              <w:jc w:val="center"/>
            </w:pPr>
            <w:r>
              <w:rPr>
                <w:rFonts w:ascii="宋体" w:hAnsi="宋体" w:eastAsia="宋体"/>
                <w:sz w:val="16"/>
              </w:rPr>
              <w:t>4.42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42249">
            <w:pPr>
              <w:jc w:val="center"/>
            </w:pPr>
            <w:r>
              <w:rPr>
                <w:rFonts w:ascii="宋体" w:hAnsi="宋体" w:eastAsia="宋体"/>
                <w:sz w:val="16"/>
              </w:rPr>
              <w:t>原因分析：2024年完成2023年的37件未办结案件，2024年12件未办结，但未超出办理时限。整改措施：提高工作效率，加快案件办结率。</w:t>
            </w:r>
          </w:p>
        </w:tc>
      </w:tr>
      <w:tr w14:paraId="7D8B2B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75F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EFD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5E2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A2FB4">
            <w:pPr>
              <w:jc w:val="center"/>
            </w:pPr>
            <w:r>
              <w:rPr>
                <w:rFonts w:ascii="宋体" w:hAnsi="宋体" w:eastAsia="宋体"/>
                <w:sz w:val="16"/>
              </w:rPr>
              <w:t>信访举报办结率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1D3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7F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F78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A7D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6F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9C2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E530">
            <w:pPr>
              <w:jc w:val="center"/>
            </w:pPr>
            <w:r>
              <w:rPr>
                <w:rFonts w:ascii="宋体" w:hAnsi="宋体" w:eastAsia="宋体"/>
                <w:sz w:val="16"/>
              </w:rPr>
              <w:t>=98.04%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4F546">
            <w:pPr>
              <w:jc w:val="center"/>
            </w:pPr>
            <w:r>
              <w:rPr>
                <w:rFonts w:ascii="宋体" w:hAnsi="宋体" w:eastAsia="宋体"/>
                <w:sz w:val="16"/>
              </w:rPr>
              <w:t>98.04%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603D3">
            <w:pPr>
              <w:jc w:val="center"/>
            </w:pPr>
            <w:r>
              <w:rPr>
                <w:rFonts w:ascii="宋体" w:hAnsi="宋体" w:eastAsia="宋体"/>
                <w:sz w:val="16"/>
              </w:rPr>
              <w:t>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9C2F">
            <w:pPr>
              <w:jc w:val="center"/>
            </w:pPr>
            <w:r>
              <w:rPr>
                <w:rFonts w:ascii="宋体" w:hAnsi="宋体" w:eastAsia="宋体"/>
                <w:sz w:val="16"/>
              </w:rPr>
              <w:t>原因分析：信访件51件中，50件已办结，1件为新举报案件，未办结。整改措施：提高工作效率，加快案件办结率。</w:t>
            </w:r>
          </w:p>
        </w:tc>
      </w:tr>
      <w:tr w14:paraId="1BE0D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390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1AF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9D2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71169">
            <w:pPr>
              <w:jc w:val="center"/>
            </w:pPr>
            <w:r>
              <w:rPr>
                <w:rFonts w:ascii="宋体" w:hAnsi="宋体" w:eastAsia="宋体"/>
                <w:sz w:val="16"/>
              </w:rPr>
              <w:t>案件办理时限达标率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F7B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31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438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4D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9E0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1C7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E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76D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31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6C14">
            <w:pPr>
              <w:jc w:val="center"/>
            </w:pPr>
            <w:r>
              <w:rPr>
                <w:rFonts w:ascii="宋体" w:hAnsi="宋体" w:eastAsia="宋体"/>
                <w:sz w:val="16"/>
              </w:rPr>
              <w:t>实际完成值大于目标值，超额完成。</w:t>
            </w:r>
          </w:p>
        </w:tc>
      </w:tr>
      <w:tr w14:paraId="2E816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600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0ED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4D5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BDC3A">
            <w:pPr>
              <w:jc w:val="center"/>
            </w:pPr>
            <w:r>
              <w:rPr>
                <w:rFonts w:ascii="宋体" w:hAnsi="宋体" w:eastAsia="宋体"/>
                <w:sz w:val="16"/>
              </w:rPr>
              <w:t>办案经费支付及时率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146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29C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B64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C25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66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44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27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9A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85F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87C4">
            <w:pPr>
              <w:jc w:val="center"/>
            </w:pPr>
            <w:r>
              <w:rPr>
                <w:rFonts w:ascii="宋体" w:hAnsi="宋体" w:eastAsia="宋体"/>
                <w:sz w:val="16"/>
              </w:rPr>
              <w:t>实际完成值大于目标值，超额完成。</w:t>
            </w:r>
          </w:p>
        </w:tc>
      </w:tr>
      <w:tr w14:paraId="0066A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DD09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7283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07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D86C8">
            <w:pPr>
              <w:jc w:val="center"/>
            </w:pPr>
            <w:r>
              <w:rPr>
                <w:rFonts w:ascii="宋体" w:hAnsi="宋体" w:eastAsia="宋体"/>
                <w:sz w:val="16"/>
              </w:rPr>
              <w:t>办案经费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34E2">
            <w:pPr>
              <w:jc w:val="center"/>
            </w:pPr>
            <w:r>
              <w:rPr>
                <w:rFonts w:ascii="宋体" w:hAnsi="宋体" w:eastAsia="宋体"/>
                <w:sz w:val="16"/>
              </w:rPr>
              <w:t>&lt;=2.8万元/人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3E9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C5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6AA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A3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7F3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98123">
            <w:pPr>
              <w:jc w:val="center"/>
            </w:pPr>
            <w:r>
              <w:rPr>
                <w:rFonts w:ascii="宋体" w:hAnsi="宋体" w:eastAsia="宋体"/>
                <w:sz w:val="16"/>
              </w:rPr>
              <w:t>=2.76万元/人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5D290">
            <w:pPr>
              <w:jc w:val="center"/>
            </w:pPr>
            <w:r>
              <w:rPr>
                <w:rFonts w:ascii="宋体" w:hAnsi="宋体" w:eastAsia="宋体"/>
                <w:sz w:val="16"/>
              </w:rPr>
              <w:t>98.61%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175B">
            <w:pPr>
              <w:jc w:val="center"/>
            </w:pPr>
            <w:r>
              <w:rPr>
                <w:rFonts w:ascii="宋体" w:hAnsi="宋体" w:eastAsia="宋体"/>
                <w:sz w:val="16"/>
              </w:rPr>
              <w:t>19.3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49E6">
            <w:pPr>
              <w:jc w:val="center"/>
            </w:pPr>
            <w:r>
              <w:rPr>
                <w:rFonts w:ascii="宋体" w:hAnsi="宋体" w:eastAsia="宋体"/>
                <w:sz w:val="16"/>
              </w:rPr>
              <w:t>原因分析：2024年未办结案件12件，资金未支付完成。整改措施：提高工作效率，加快案件办结率，加快资金支付。</w:t>
            </w:r>
          </w:p>
        </w:tc>
      </w:tr>
      <w:tr w14:paraId="36E15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735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977C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2DB1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AF276">
            <w:pPr>
              <w:jc w:val="center"/>
            </w:pPr>
            <w:r>
              <w:rPr>
                <w:rFonts w:ascii="宋体" w:hAnsi="宋体" w:eastAsia="宋体"/>
                <w:sz w:val="16"/>
              </w:rPr>
              <w:t>推进社会风清气正，反腐倡廉工作效果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01BF">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DC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087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071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86E3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7FC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F399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91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6383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5499">
            <w:pPr>
              <w:jc w:val="center"/>
            </w:pPr>
          </w:p>
        </w:tc>
      </w:tr>
      <w:tr w14:paraId="0BBCF0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7EF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EED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2B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C065">
            <w:pPr>
              <w:jc w:val="center"/>
            </w:pPr>
            <w:r>
              <w:rPr>
                <w:rFonts w:ascii="宋体" w:hAnsi="宋体" w:eastAsia="宋体"/>
                <w:sz w:val="16"/>
              </w:rPr>
              <w:t>办案人员被投诉次数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C7BA">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A1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A20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DC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19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DA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F210">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A39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C3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9000">
            <w:pPr>
              <w:jc w:val="center"/>
            </w:pPr>
          </w:p>
        </w:tc>
      </w:tr>
      <w:tr w14:paraId="4FD1DE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1BCD2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6CEC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4AB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4D01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00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886D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34B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1AD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555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BB78">
            <w:pPr>
              <w:jc w:val="center"/>
            </w:pPr>
            <w:r>
              <w:rPr>
                <w:rFonts w:ascii="宋体" w:hAnsi="宋体" w:eastAsia="宋体"/>
                <w:sz w:val="16"/>
              </w:rPr>
              <w:t>96.97分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DE79F"/>
        </w:tc>
      </w:tr>
    </w:tbl>
    <w:p w14:paraId="31E59DB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96"/>
        <w:gridCol w:w="776"/>
        <w:gridCol w:w="632"/>
        <w:gridCol w:w="632"/>
      </w:tblGrid>
      <w:tr w14:paraId="72C848A6">
        <w:tc>
          <w:tcPr>
            <w:tcW w:w="8848" w:type="dxa"/>
            <w:gridSpan w:val="14"/>
            <w:vAlign w:val="center"/>
          </w:tcPr>
          <w:p w14:paraId="0355E258">
            <w:pPr>
              <w:jc w:val="center"/>
            </w:pPr>
            <w:r>
              <w:rPr>
                <w:rFonts w:ascii="宋体" w:hAnsi="宋体" w:eastAsia="宋体"/>
                <w:sz w:val="24"/>
              </w:rPr>
              <w:t>项目支出绩效自评表</w:t>
            </w:r>
          </w:p>
        </w:tc>
      </w:tr>
      <w:tr w14:paraId="1EFA55FE">
        <w:tblPrEx>
          <w:tblCellMar>
            <w:top w:w="0" w:type="dxa"/>
            <w:left w:w="108" w:type="dxa"/>
            <w:bottom w:w="0" w:type="dxa"/>
            <w:right w:w="108" w:type="dxa"/>
          </w:tblCellMar>
        </w:tblPrEx>
        <w:tc>
          <w:tcPr>
            <w:tcW w:w="8848" w:type="dxa"/>
            <w:gridSpan w:val="14"/>
            <w:vAlign w:val="center"/>
          </w:tcPr>
          <w:p w14:paraId="73E93B4F">
            <w:pPr>
              <w:jc w:val="center"/>
            </w:pPr>
            <w:r>
              <w:rPr>
                <w:rFonts w:ascii="宋体" w:hAnsi="宋体" w:eastAsia="宋体"/>
                <w:sz w:val="24"/>
              </w:rPr>
              <w:t>(2024年度)</w:t>
            </w:r>
          </w:p>
        </w:tc>
      </w:tr>
      <w:tr w14:paraId="425E5E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8CC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165CC9">
            <w:pPr>
              <w:jc w:val="center"/>
            </w:pPr>
            <w:r>
              <w:rPr>
                <w:rFonts w:ascii="宋体" w:hAnsi="宋体" w:eastAsia="宋体"/>
                <w:sz w:val="16"/>
              </w:rPr>
              <w:t>2024年巡视巡察工作经费项目</w:t>
            </w:r>
          </w:p>
        </w:tc>
      </w:tr>
      <w:tr w14:paraId="1BD203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84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B311D6">
            <w:pPr>
              <w:jc w:val="center"/>
            </w:pPr>
            <w:r>
              <w:rPr>
                <w:rFonts w:ascii="宋体" w:hAnsi="宋体" w:eastAsia="宋体"/>
                <w:sz w:val="16"/>
              </w:rPr>
              <w:t>和硕县党委巡察工作领导小组办公室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4FA2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C89946">
            <w:pPr>
              <w:jc w:val="center"/>
            </w:pPr>
            <w:r>
              <w:rPr>
                <w:rFonts w:ascii="宋体" w:hAnsi="宋体" w:eastAsia="宋体"/>
                <w:sz w:val="16"/>
              </w:rPr>
              <w:t>和硕县党委巡察工作领导小组办公室</w:t>
            </w:r>
          </w:p>
        </w:tc>
      </w:tr>
      <w:tr w14:paraId="7AD6F0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0435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4AF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301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4184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526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B103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B04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9CA2">
            <w:pPr>
              <w:jc w:val="center"/>
            </w:pPr>
            <w:r>
              <w:rPr>
                <w:rFonts w:ascii="宋体" w:hAnsi="宋体" w:eastAsia="宋体"/>
                <w:sz w:val="16"/>
              </w:rPr>
              <w:t>得分</w:t>
            </w:r>
          </w:p>
        </w:tc>
      </w:tr>
      <w:tr w14:paraId="45844E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C190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0B4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C11AE">
            <w:pPr>
              <w:jc w:val="center"/>
            </w:pPr>
            <w:r>
              <w:rPr>
                <w:rFonts w:ascii="宋体" w:hAnsi="宋体" w:eastAsia="宋体"/>
                <w:sz w:val="16"/>
              </w:rPr>
              <w:t>12.60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F312E">
            <w:pPr>
              <w:jc w:val="center"/>
            </w:pPr>
            <w:r>
              <w:rPr>
                <w:rFonts w:ascii="宋体" w:hAnsi="宋体" w:eastAsia="宋体"/>
                <w:sz w:val="16"/>
              </w:rPr>
              <w:t>12.60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78E36">
            <w:pPr>
              <w:jc w:val="center"/>
            </w:pPr>
            <w:r>
              <w:rPr>
                <w:rFonts w:ascii="宋体" w:hAnsi="宋体" w:eastAsia="宋体"/>
                <w:sz w:val="16"/>
              </w:rPr>
              <w:t>12.45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8D56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F476E">
            <w:pPr>
              <w:jc w:val="center"/>
            </w:pPr>
            <w:r>
              <w:rPr>
                <w:rFonts w:ascii="宋体" w:hAnsi="宋体" w:eastAsia="宋体"/>
                <w:sz w:val="16"/>
              </w:rPr>
              <w:t>98.81%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6161">
            <w:pPr>
              <w:jc w:val="center"/>
            </w:pPr>
            <w:r>
              <w:rPr>
                <w:rFonts w:ascii="宋体" w:hAnsi="宋体" w:eastAsia="宋体"/>
                <w:sz w:val="16"/>
              </w:rPr>
              <w:t>10.00</w:t>
            </w:r>
          </w:p>
        </w:tc>
      </w:tr>
      <w:tr w14:paraId="786E16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F17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663C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50681">
            <w:pPr>
              <w:jc w:val="center"/>
            </w:pPr>
            <w:r>
              <w:rPr>
                <w:rFonts w:ascii="宋体" w:hAnsi="宋体" w:eastAsia="宋体"/>
                <w:sz w:val="16"/>
              </w:rPr>
              <w:t>12.60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75FCB">
            <w:pPr>
              <w:jc w:val="center"/>
            </w:pPr>
            <w:r>
              <w:rPr>
                <w:rFonts w:ascii="宋体" w:hAnsi="宋体" w:eastAsia="宋体"/>
                <w:sz w:val="16"/>
              </w:rPr>
              <w:t>12.60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41773">
            <w:pPr>
              <w:jc w:val="center"/>
            </w:pPr>
            <w:r>
              <w:rPr>
                <w:rFonts w:ascii="宋体" w:hAnsi="宋体" w:eastAsia="宋体"/>
                <w:sz w:val="16"/>
              </w:rPr>
              <w:t>12.45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96C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6EB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FA50C">
            <w:pPr>
              <w:jc w:val="center"/>
            </w:pPr>
            <w:r>
              <w:rPr>
                <w:rFonts w:ascii="宋体" w:hAnsi="宋体" w:eastAsia="宋体"/>
                <w:sz w:val="16"/>
              </w:rPr>
              <w:t>-</w:t>
            </w:r>
          </w:p>
        </w:tc>
      </w:tr>
      <w:tr w14:paraId="24AA8A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EAE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0F7E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ABE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D3E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7F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C42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EFC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534E">
            <w:pPr>
              <w:jc w:val="center"/>
            </w:pPr>
            <w:r>
              <w:rPr>
                <w:rFonts w:ascii="宋体" w:hAnsi="宋体" w:eastAsia="宋体"/>
                <w:sz w:val="16"/>
              </w:rPr>
              <w:t>-</w:t>
            </w:r>
          </w:p>
        </w:tc>
      </w:tr>
      <w:tr w14:paraId="4B411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3572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214CA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896861">
            <w:pPr>
              <w:jc w:val="center"/>
            </w:pPr>
            <w:r>
              <w:rPr>
                <w:rFonts w:ascii="宋体" w:hAnsi="宋体" w:eastAsia="宋体"/>
                <w:sz w:val="16"/>
              </w:rPr>
              <w:t>总体目标完成情况</w:t>
            </w:r>
          </w:p>
        </w:tc>
      </w:tr>
      <w:tr w14:paraId="61AC2F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937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A3D450">
            <w:pPr>
              <w:jc w:val="both"/>
            </w:pPr>
            <w:r>
              <w:rPr>
                <w:rFonts w:ascii="宋体" w:hAnsi="宋体" w:eastAsia="宋体"/>
                <w:sz w:val="16"/>
              </w:rPr>
              <w:t>为进一步贯彻落实《中国共产党巡视工作条例》和《和硕县委巡察工作规划（2022-2026年）》的工作要求，按照区、州、县</w:t>
            </w:r>
            <w:r>
              <w:rPr>
                <w:rFonts w:hint="eastAsia" w:ascii="宋体" w:hAnsi="宋体"/>
                <w:sz w:val="16"/>
                <w:lang w:eastAsia="zh-CN"/>
              </w:rPr>
              <w:t>党委、政府</w:t>
            </w:r>
            <w:r>
              <w:rPr>
                <w:rFonts w:ascii="宋体" w:hAnsi="宋体" w:eastAsia="宋体"/>
                <w:sz w:val="16"/>
              </w:rPr>
              <w:t>安排部署，突出抓好上级巡视巡察反馈意见的整改以及促进我县巡察工作高质量发展，推进巡视巡察工作全面实施预算绩效管理。2024年，和硕县党委巡察办将发挥巡察工作职能，做好统筹协调、指导督导，服务保障县党委巡察工作；全面了解、配合监督巡视巡察整改落实工作；负责向县党委巡察工作领导小组办公室报告工作情况，传达贯彻中央、自治区巡视工作领导小组和自治州巡察工作领导小组的决策部署；承担县党委巡察工作的政策研究、制度建设工作。计划开展巡察至少3轮次，巡察单位部门24个以上，形成28个巡察情况报告，对巡察整改落实情况进行公开，并协同纪委对整改落实情况进行检查，进一步促进整改落实落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28C6AD">
            <w:pPr>
              <w:jc w:val="both"/>
            </w:pPr>
            <w:r>
              <w:rPr>
                <w:rFonts w:ascii="宋体" w:hAnsi="宋体" w:eastAsia="宋体"/>
                <w:sz w:val="16"/>
              </w:rPr>
              <w:t>目前已开展3轮巡察，3轮巡察采取“常规+交叉+回头看”的方式，对县人大常委会机关、水利局、交通局、市监局、教科局等28个党组织开展巡察，已形成巡察报告28个。今年以来，和硕县党委巡察办以强有力的政治监督，推动践行“两个维护”成为自觉、见诸行动，以永远在路上的政治自觉，持续守护和硕</w:t>
            </w:r>
            <w:r>
              <w:rPr>
                <w:rFonts w:hint="eastAsia" w:ascii="宋体" w:hAnsi="宋体"/>
                <w:sz w:val="16"/>
                <w:lang w:eastAsia="zh-CN"/>
              </w:rPr>
              <w:t>风清气正的政治生态</w:t>
            </w:r>
            <w:r>
              <w:rPr>
                <w:rFonts w:ascii="宋体" w:hAnsi="宋体" w:eastAsia="宋体"/>
                <w:sz w:val="16"/>
              </w:rPr>
              <w:t>。</w:t>
            </w:r>
          </w:p>
        </w:tc>
      </w:tr>
      <w:tr w14:paraId="076614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FC49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C0F2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87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52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960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75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BBD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174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B20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493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BD3D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E41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EB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7A6A">
            <w:pPr>
              <w:jc w:val="center"/>
            </w:pPr>
            <w:r>
              <w:rPr>
                <w:rFonts w:ascii="宋体" w:hAnsi="宋体" w:eastAsia="宋体"/>
                <w:sz w:val="16"/>
              </w:rPr>
              <w:t>偏差原因分析及改进措施</w:t>
            </w:r>
          </w:p>
        </w:tc>
      </w:tr>
      <w:tr w14:paraId="29FB11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6BA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FD63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7A6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E077">
            <w:pPr>
              <w:jc w:val="center"/>
            </w:pPr>
            <w:r>
              <w:rPr>
                <w:rFonts w:ascii="宋体" w:hAnsi="宋体" w:eastAsia="宋体"/>
                <w:sz w:val="16"/>
              </w:rPr>
              <w:t>巡察频次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D8E0">
            <w:pPr>
              <w:jc w:val="center"/>
            </w:pPr>
            <w:r>
              <w:rPr>
                <w:rFonts w:ascii="宋体" w:hAnsi="宋体" w:eastAsia="宋体"/>
                <w:sz w:val="16"/>
              </w:rPr>
              <w:t>&gt;=3轮次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D5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BC1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4F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B3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A0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B10C">
            <w:pPr>
              <w:jc w:val="center"/>
            </w:pPr>
            <w:r>
              <w:rPr>
                <w:rFonts w:ascii="宋体" w:hAnsi="宋体" w:eastAsia="宋体"/>
                <w:sz w:val="16"/>
              </w:rPr>
              <w:t>=3轮次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2AD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1A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5EB99">
            <w:pPr>
              <w:jc w:val="center"/>
            </w:pPr>
          </w:p>
        </w:tc>
      </w:tr>
      <w:tr w14:paraId="76C1A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633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1DF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173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160F">
            <w:pPr>
              <w:jc w:val="center"/>
            </w:pPr>
            <w:r>
              <w:rPr>
                <w:rFonts w:ascii="宋体" w:hAnsi="宋体" w:eastAsia="宋体"/>
                <w:sz w:val="16"/>
              </w:rPr>
              <w:t>巡察部门单位个数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B8140">
            <w:pPr>
              <w:jc w:val="center"/>
            </w:pPr>
            <w:r>
              <w:rPr>
                <w:rFonts w:ascii="宋体" w:hAnsi="宋体" w:eastAsia="宋体"/>
                <w:sz w:val="16"/>
              </w:rPr>
              <w:t>&gt;=24个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054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19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933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F6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B1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5AF7">
            <w:pPr>
              <w:jc w:val="center"/>
            </w:pPr>
            <w:r>
              <w:rPr>
                <w:rFonts w:ascii="宋体" w:hAnsi="宋体" w:eastAsia="宋体"/>
                <w:sz w:val="16"/>
              </w:rPr>
              <w: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28EC1">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6EFD4">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55CCB">
            <w:pPr>
              <w:jc w:val="center"/>
            </w:pPr>
            <w:r>
              <w:rPr>
                <w:rFonts w:ascii="宋体" w:hAnsi="宋体" w:eastAsia="宋体"/>
                <w:sz w:val="16"/>
              </w:rPr>
              <w:t>根据自治区、自治州党委巡视巡察工作安排，结合今年开展上下联动巡察单位28个，巡察任务完成较好。改进措施：后期从严从高设置指标。</w:t>
            </w:r>
          </w:p>
        </w:tc>
      </w:tr>
      <w:tr w14:paraId="2FC96A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224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56C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96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5F2F">
            <w:pPr>
              <w:jc w:val="center"/>
            </w:pPr>
            <w:r>
              <w:rPr>
                <w:rFonts w:ascii="宋体" w:hAnsi="宋体" w:eastAsia="宋体"/>
                <w:sz w:val="16"/>
              </w:rPr>
              <w:t>巡察工作领导小组办公室在职人数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9A5A4">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A4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07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452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A5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434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CEFB">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99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868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6B74">
            <w:pPr>
              <w:jc w:val="center"/>
            </w:pPr>
          </w:p>
        </w:tc>
      </w:tr>
      <w:tr w14:paraId="2D314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4B6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1B2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FCB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275F">
            <w:pPr>
              <w:jc w:val="center"/>
            </w:pPr>
            <w:r>
              <w:rPr>
                <w:rFonts w:ascii="宋体" w:hAnsi="宋体" w:eastAsia="宋体"/>
                <w:sz w:val="16"/>
              </w:rPr>
              <w:t>巡察覆盖率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D8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98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B71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63F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DC5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A4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89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E5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7DF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51ACA">
            <w:pPr>
              <w:jc w:val="center"/>
            </w:pPr>
          </w:p>
        </w:tc>
      </w:tr>
      <w:tr w14:paraId="34E64B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8E4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FFA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47B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E2F0">
            <w:pPr>
              <w:jc w:val="center"/>
            </w:pPr>
            <w:r>
              <w:rPr>
                <w:rFonts w:ascii="宋体" w:hAnsi="宋体" w:eastAsia="宋体"/>
                <w:sz w:val="16"/>
              </w:rPr>
              <w:t>巡察资金到位率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EE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1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1DD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9F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1A1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A1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15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19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58D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D073">
            <w:pPr>
              <w:jc w:val="center"/>
            </w:pPr>
          </w:p>
        </w:tc>
      </w:tr>
      <w:tr w14:paraId="248DA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2E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9100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53A2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49B7">
            <w:pPr>
              <w:jc w:val="center"/>
            </w:pPr>
            <w:r>
              <w:rPr>
                <w:rFonts w:ascii="宋体" w:hAnsi="宋体" w:eastAsia="宋体"/>
                <w:sz w:val="16"/>
              </w:rPr>
              <w:t>年度巡察任务按时完成率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5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12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01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586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02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6F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AD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9A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3F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1E36">
            <w:pPr>
              <w:jc w:val="center"/>
            </w:pPr>
          </w:p>
        </w:tc>
      </w:tr>
      <w:tr w14:paraId="1A8D5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CDE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52A8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53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07AD9">
            <w:pPr>
              <w:jc w:val="center"/>
            </w:pPr>
            <w:r>
              <w:rPr>
                <w:rFonts w:ascii="宋体" w:hAnsi="宋体" w:eastAsia="宋体"/>
                <w:sz w:val="16"/>
              </w:rPr>
              <w:t>每轮巡察时长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C5E8">
            <w:pPr>
              <w:jc w:val="center"/>
            </w:pPr>
            <w:r>
              <w:rPr>
                <w:rFonts w:ascii="宋体" w:hAnsi="宋体" w:eastAsia="宋体"/>
                <w:sz w:val="16"/>
              </w:rPr>
              <w:t>&lt;=3个月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043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5F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A5B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89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3B23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9C8E">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2E3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C25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BB48">
            <w:pPr>
              <w:jc w:val="center"/>
            </w:pPr>
          </w:p>
        </w:tc>
      </w:tr>
      <w:tr w14:paraId="7ACFC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59A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A58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8A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25711">
            <w:pPr>
              <w:jc w:val="center"/>
            </w:pPr>
            <w:r>
              <w:rPr>
                <w:rFonts w:ascii="宋体" w:hAnsi="宋体" w:eastAsia="宋体"/>
                <w:sz w:val="16"/>
              </w:rPr>
              <w:t>人均巡视巡察工作经费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11CF">
            <w:pPr>
              <w:jc w:val="center"/>
            </w:pPr>
            <w:r>
              <w:rPr>
                <w:rFonts w:ascii="宋体" w:hAnsi="宋体" w:eastAsia="宋体"/>
                <w:sz w:val="16"/>
              </w:rPr>
              <w:t>&lt;=1.40万元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53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A3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C2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6A2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39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68DE2">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D6FD">
            <w:pPr>
              <w:jc w:val="center"/>
            </w:pPr>
            <w:r>
              <w:rPr>
                <w:rFonts w:ascii="宋体" w:hAnsi="宋体" w:eastAsia="宋体"/>
                <w:sz w:val="16"/>
              </w:rPr>
              <w:t>98.57%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C02F3">
            <w:pPr>
              <w:jc w:val="center"/>
            </w:pPr>
            <w:r>
              <w:rPr>
                <w:rFonts w:ascii="宋体" w:hAnsi="宋体" w:eastAsia="宋体"/>
                <w:sz w:val="16"/>
              </w:rPr>
              <w:t>19.71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DFC1">
            <w:pPr>
              <w:jc w:val="center"/>
            </w:pPr>
            <w:r>
              <w:rPr>
                <w:rFonts w:ascii="宋体" w:hAnsi="宋体" w:eastAsia="宋体"/>
                <w:sz w:val="16"/>
              </w:rPr>
              <w:t>2024年12月31日，和硕县委第十三届第十轮巡察工作还未结束，未能按时完成剩余经费的支付。一是加强项目资金的</w:t>
            </w:r>
            <w:r>
              <w:rPr>
                <w:rFonts w:hint="eastAsia" w:ascii="宋体" w:hAnsi="宋体"/>
                <w:sz w:val="16"/>
                <w:lang w:eastAsia="zh-CN"/>
              </w:rPr>
              <w:t>监督管理</w:t>
            </w:r>
            <w:r>
              <w:rPr>
                <w:rFonts w:ascii="宋体" w:hAnsi="宋体" w:eastAsia="宋体"/>
                <w:sz w:val="16"/>
              </w:rPr>
              <w:t>力度，及时按要求支付工作经费。二是积极与财政部门沟通做好经费的支付工作。</w:t>
            </w:r>
          </w:p>
        </w:tc>
      </w:tr>
      <w:tr w14:paraId="7115B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B62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54D4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EFA1C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3118">
            <w:pPr>
              <w:jc w:val="center"/>
            </w:pPr>
            <w:r>
              <w:rPr>
                <w:rFonts w:ascii="宋体" w:hAnsi="宋体" w:eastAsia="宋体"/>
                <w:sz w:val="16"/>
              </w:rPr>
              <w:t>巡察结果公开率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79C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CE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6C3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FB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7E8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D59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E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11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E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2315">
            <w:pPr>
              <w:jc w:val="center"/>
            </w:pPr>
          </w:p>
        </w:tc>
      </w:tr>
      <w:tr w14:paraId="05A102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C8E7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E8C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FE5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CE2D2">
            <w:pPr>
              <w:jc w:val="center"/>
            </w:pPr>
            <w:r>
              <w:rPr>
                <w:rFonts w:ascii="宋体" w:hAnsi="宋体" w:eastAsia="宋体"/>
                <w:sz w:val="16"/>
              </w:rPr>
              <w:t>问题整改落实率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FFB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43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D1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0E8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A12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B0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30F9">
            <w:pPr>
              <w:jc w:val="center"/>
            </w:pPr>
            <w:r>
              <w:rPr>
                <w:rFonts w:ascii="宋体" w:hAnsi="宋体" w:eastAsia="宋体"/>
                <w:sz w:val="16"/>
              </w:rPr>
              <w:t>=97.6%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71901">
            <w:pPr>
              <w:jc w:val="center"/>
            </w:pPr>
            <w:r>
              <w:rPr>
                <w:rFonts w:ascii="宋体" w:hAnsi="宋体" w:eastAsia="宋体"/>
                <w:sz w:val="16"/>
              </w:rPr>
              <w:t>102.74%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70BAD">
            <w:pPr>
              <w:jc w:val="center"/>
            </w:pPr>
            <w:r>
              <w:rPr>
                <w:rFonts w:ascii="宋体" w:hAnsi="宋体" w:eastAsia="宋体"/>
                <w:sz w:val="16"/>
              </w:rPr>
              <w:t>4.86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058A">
            <w:pPr>
              <w:jc w:val="center"/>
            </w:pPr>
            <w:r>
              <w:rPr>
                <w:rFonts w:ascii="宋体" w:hAnsi="宋体" w:eastAsia="宋体"/>
                <w:sz w:val="16"/>
              </w:rPr>
              <w:t>根据巡视巡察工作条例要求，问题整改落实较好，持续加强问题整改的跟踪问效，督促问题</w:t>
            </w:r>
            <w:r>
              <w:rPr>
                <w:rFonts w:hint="eastAsia" w:ascii="宋体" w:hAnsi="宋体"/>
                <w:sz w:val="16"/>
                <w:lang w:eastAsia="zh-CN"/>
              </w:rPr>
              <w:t>整改</w:t>
            </w:r>
            <w:r>
              <w:rPr>
                <w:rFonts w:ascii="宋体" w:hAnsi="宋体" w:eastAsia="宋体"/>
                <w:sz w:val="16"/>
              </w:rPr>
              <w:t>到位。</w:t>
            </w:r>
          </w:p>
        </w:tc>
      </w:tr>
      <w:tr w14:paraId="7A9543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7C2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E70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E13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42DB">
            <w:pPr>
              <w:jc w:val="center"/>
            </w:pPr>
            <w:r>
              <w:rPr>
                <w:rFonts w:ascii="宋体" w:hAnsi="宋体" w:eastAsia="宋体"/>
                <w:sz w:val="16"/>
              </w:rPr>
              <w:t>巡察报告数量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F3A6">
            <w:pPr>
              <w:jc w:val="center"/>
            </w:pPr>
            <w:r>
              <w:rPr>
                <w:rFonts w:ascii="宋体" w:hAnsi="宋体" w:eastAsia="宋体"/>
                <w:sz w:val="16"/>
              </w:rPr>
              <w:t>&gt;=24个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6D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1D3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6B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A90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032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E0CCA">
            <w:pPr>
              <w:jc w:val="center"/>
            </w:pPr>
            <w:r>
              <w:rPr>
                <w:rFonts w:ascii="宋体" w:hAnsi="宋体" w:eastAsia="宋体"/>
                <w:sz w:val="16"/>
              </w:rPr>
              <w: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081FF">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34D04">
            <w:pPr>
              <w:jc w:val="center"/>
            </w:pPr>
            <w:r>
              <w:rPr>
                <w:rFonts w:ascii="宋体" w:hAnsi="宋体" w:eastAsia="宋体"/>
                <w:sz w:val="16"/>
              </w:rPr>
              <w:t>4.17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6672">
            <w:pPr>
              <w:jc w:val="center"/>
            </w:pPr>
            <w:r>
              <w:rPr>
                <w:rFonts w:ascii="宋体" w:hAnsi="宋体" w:eastAsia="宋体"/>
                <w:sz w:val="16"/>
              </w:rPr>
              <w:t>根据自治区、自治州党委巡视巡察工作安排，结合今年开展上下联动巡察单位28个，巡察任务完成较好。改进措施：后期从严从高设置指标。</w:t>
            </w:r>
          </w:p>
        </w:tc>
      </w:tr>
      <w:tr w14:paraId="571905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BE9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FD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F6FB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04B65">
            <w:pPr>
              <w:jc w:val="center"/>
            </w:pPr>
            <w:r>
              <w:rPr>
                <w:rFonts w:ascii="宋体" w:hAnsi="宋体" w:eastAsia="宋体"/>
                <w:sz w:val="16"/>
              </w:rPr>
              <w:t>巡察人员被投诉次数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AEE78">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AAE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5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A0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DA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8B1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6B7AC">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D3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8E8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43D7">
            <w:pPr>
              <w:jc w:val="center"/>
            </w:pPr>
          </w:p>
        </w:tc>
      </w:tr>
      <w:tr w14:paraId="686CAA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59765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19ED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352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91B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F4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7958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1743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DEA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B11B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5C55B">
            <w:pPr>
              <w:jc w:val="center"/>
            </w:pPr>
            <w:r>
              <w:rPr>
                <w:rFonts w:ascii="宋体" w:hAnsi="宋体" w:eastAsia="宋体"/>
                <w:sz w:val="16"/>
              </w:rPr>
              <w:t>97.07分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4E80C"/>
        </w:tc>
      </w:tr>
    </w:tbl>
    <w:p w14:paraId="5E0FAE6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96"/>
        <w:gridCol w:w="632"/>
      </w:tblGrid>
      <w:tr w14:paraId="7490BE6B">
        <w:tblPrEx>
          <w:tblCellMar>
            <w:top w:w="0" w:type="dxa"/>
            <w:left w:w="108" w:type="dxa"/>
            <w:bottom w:w="0" w:type="dxa"/>
            <w:right w:w="108" w:type="dxa"/>
          </w:tblCellMar>
        </w:tblPrEx>
        <w:tc>
          <w:tcPr>
            <w:tcW w:w="8848" w:type="dxa"/>
            <w:gridSpan w:val="14"/>
            <w:vAlign w:val="center"/>
          </w:tcPr>
          <w:p w14:paraId="1B4EA781">
            <w:pPr>
              <w:jc w:val="center"/>
            </w:pPr>
            <w:r>
              <w:rPr>
                <w:rFonts w:ascii="宋体" w:hAnsi="宋体" w:eastAsia="宋体"/>
                <w:sz w:val="24"/>
              </w:rPr>
              <w:t>项目支出绩效自评表</w:t>
            </w:r>
          </w:p>
        </w:tc>
      </w:tr>
      <w:tr w14:paraId="5B48916F">
        <w:tblPrEx>
          <w:tblCellMar>
            <w:top w:w="0" w:type="dxa"/>
            <w:left w:w="108" w:type="dxa"/>
            <w:bottom w:w="0" w:type="dxa"/>
            <w:right w:w="108" w:type="dxa"/>
          </w:tblCellMar>
        </w:tblPrEx>
        <w:tc>
          <w:tcPr>
            <w:tcW w:w="8848" w:type="dxa"/>
            <w:gridSpan w:val="14"/>
            <w:vAlign w:val="center"/>
          </w:tcPr>
          <w:p w14:paraId="2A6D79F5">
            <w:pPr>
              <w:jc w:val="center"/>
            </w:pPr>
            <w:r>
              <w:rPr>
                <w:rFonts w:ascii="宋体" w:hAnsi="宋体" w:eastAsia="宋体"/>
                <w:sz w:val="24"/>
              </w:rPr>
              <w:t>(2024年度)</w:t>
            </w:r>
          </w:p>
        </w:tc>
      </w:tr>
      <w:tr w14:paraId="59890A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B6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2371AB">
            <w:pPr>
              <w:jc w:val="center"/>
            </w:pPr>
            <w:r>
              <w:rPr>
                <w:rFonts w:ascii="宋体" w:hAnsi="宋体" w:eastAsia="宋体"/>
                <w:sz w:val="16"/>
              </w:rPr>
              <w:t>纪委购买2辆执法执勤车</w:t>
            </w:r>
          </w:p>
        </w:tc>
      </w:tr>
      <w:tr w14:paraId="0DE0E2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19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887C5B">
            <w:pPr>
              <w:jc w:val="center"/>
            </w:pPr>
            <w:r>
              <w:rPr>
                <w:rFonts w:ascii="宋体" w:hAnsi="宋体" w:eastAsia="宋体"/>
                <w:sz w:val="16"/>
              </w:rPr>
              <w:t>中共和硕县纪律检查委员会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822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DF151A">
            <w:pPr>
              <w:jc w:val="center"/>
            </w:pPr>
            <w:r>
              <w:rPr>
                <w:rFonts w:ascii="宋体" w:hAnsi="宋体" w:eastAsia="宋体"/>
                <w:sz w:val="16"/>
              </w:rPr>
              <w:t>中共和硕县纪律检查委员会</w:t>
            </w:r>
          </w:p>
        </w:tc>
      </w:tr>
      <w:tr w14:paraId="1BFD4F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656D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7F3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B209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BD4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8BA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E377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8E9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DD302">
            <w:pPr>
              <w:jc w:val="center"/>
            </w:pPr>
            <w:r>
              <w:rPr>
                <w:rFonts w:ascii="宋体" w:hAnsi="宋体" w:eastAsia="宋体"/>
                <w:sz w:val="16"/>
              </w:rPr>
              <w:t>得分</w:t>
            </w:r>
          </w:p>
        </w:tc>
      </w:tr>
      <w:tr w14:paraId="6B402E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C635E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90E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3ADC8">
            <w:pPr>
              <w:jc w:val="center"/>
            </w:pPr>
            <w:r>
              <w:rPr>
                <w:rFonts w:ascii="宋体" w:hAnsi="宋体" w:eastAsia="宋体"/>
                <w:sz w:val="16"/>
              </w:rPr>
              <w:t>35.96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B26A3">
            <w:pPr>
              <w:jc w:val="center"/>
            </w:pPr>
            <w:r>
              <w:rPr>
                <w:rFonts w:ascii="宋体" w:hAnsi="宋体" w:eastAsia="宋体"/>
                <w:sz w:val="16"/>
              </w:rPr>
              <w:t>35.96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2AB25">
            <w:pPr>
              <w:jc w:val="center"/>
            </w:pPr>
            <w:r>
              <w:rPr>
                <w:rFonts w:ascii="宋体" w:hAnsi="宋体" w:eastAsia="宋体"/>
                <w:sz w:val="16"/>
              </w:rPr>
              <w:t>35.96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CB3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1FB4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0B0F">
            <w:pPr>
              <w:jc w:val="center"/>
            </w:pPr>
            <w:r>
              <w:rPr>
                <w:rFonts w:ascii="宋体" w:hAnsi="宋体" w:eastAsia="宋体"/>
                <w:sz w:val="16"/>
              </w:rPr>
              <w:t>10.00</w:t>
            </w:r>
          </w:p>
        </w:tc>
      </w:tr>
      <w:tr w14:paraId="2FE620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37C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729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AF2B3">
            <w:pPr>
              <w:jc w:val="center"/>
            </w:pPr>
            <w:r>
              <w:rPr>
                <w:rFonts w:ascii="宋体" w:hAnsi="宋体" w:eastAsia="宋体"/>
                <w:sz w:val="16"/>
              </w:rPr>
              <w:t>35.96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58750">
            <w:pPr>
              <w:jc w:val="center"/>
            </w:pPr>
            <w:r>
              <w:rPr>
                <w:rFonts w:ascii="宋体" w:hAnsi="宋体" w:eastAsia="宋体"/>
                <w:sz w:val="16"/>
              </w:rPr>
              <w:t>35.96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381BE">
            <w:pPr>
              <w:jc w:val="center"/>
            </w:pPr>
            <w:r>
              <w:rPr>
                <w:rFonts w:ascii="宋体" w:hAnsi="宋体" w:eastAsia="宋体"/>
                <w:sz w:val="16"/>
              </w:rPr>
              <w:t>35.96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408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C2E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454A">
            <w:pPr>
              <w:jc w:val="center"/>
            </w:pPr>
            <w:r>
              <w:rPr>
                <w:rFonts w:ascii="宋体" w:hAnsi="宋体" w:eastAsia="宋体"/>
                <w:sz w:val="16"/>
              </w:rPr>
              <w:t>-</w:t>
            </w:r>
          </w:p>
        </w:tc>
      </w:tr>
      <w:tr w14:paraId="04D6B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AEA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52A1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205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C5C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A62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82B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385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481BB">
            <w:pPr>
              <w:jc w:val="center"/>
            </w:pPr>
            <w:r>
              <w:rPr>
                <w:rFonts w:ascii="宋体" w:hAnsi="宋体" w:eastAsia="宋体"/>
                <w:sz w:val="16"/>
              </w:rPr>
              <w:t>-</w:t>
            </w:r>
          </w:p>
        </w:tc>
      </w:tr>
      <w:tr w14:paraId="2AB284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069A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B1F61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103946">
            <w:pPr>
              <w:jc w:val="center"/>
            </w:pPr>
            <w:r>
              <w:rPr>
                <w:rFonts w:ascii="宋体" w:hAnsi="宋体" w:eastAsia="宋体"/>
                <w:sz w:val="16"/>
              </w:rPr>
              <w:t>总体目标完成情况</w:t>
            </w:r>
          </w:p>
        </w:tc>
      </w:tr>
      <w:tr w14:paraId="706905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9EA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16ACE4">
            <w:pPr>
              <w:jc w:val="both"/>
            </w:pPr>
            <w:r>
              <w:rPr>
                <w:rFonts w:ascii="宋体" w:hAnsi="宋体" w:eastAsia="宋体"/>
                <w:sz w:val="16"/>
              </w:rPr>
              <w:t>依据《关于同意购置执法执勤车的批复》巴管公车字</w:t>
            </w:r>
            <w:r>
              <w:rPr>
                <w:rFonts w:hint="eastAsia" w:ascii="宋体" w:hAnsi="宋体"/>
                <w:sz w:val="16"/>
                <w:lang w:eastAsia="zh-CN"/>
              </w:rPr>
              <w:t>〔2024〕4号</w:t>
            </w:r>
            <w:r>
              <w:rPr>
                <w:rFonts w:ascii="宋体" w:hAnsi="宋体" w:eastAsia="宋体"/>
                <w:sz w:val="16"/>
              </w:rPr>
              <w:t>文件，通过新购置2辆执法用车，保障单位办案人员出行需求，提高外出工作效率。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9595FE">
            <w:pPr>
              <w:jc w:val="both"/>
            </w:pPr>
            <w:r>
              <w:rPr>
                <w:rFonts w:ascii="宋体" w:hAnsi="宋体" w:eastAsia="宋体"/>
                <w:sz w:val="16"/>
              </w:rPr>
              <w:t>完成购买执法执勤车2辆，保障单位办案人员出行需求，提高了外出工作效率。</w:t>
            </w:r>
          </w:p>
        </w:tc>
      </w:tr>
      <w:tr w14:paraId="3CBC4D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5BFE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B5F9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26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4B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C80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BA1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826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FD3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794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BC8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6082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826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E5E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7EDF">
            <w:pPr>
              <w:jc w:val="center"/>
            </w:pPr>
            <w:r>
              <w:rPr>
                <w:rFonts w:ascii="宋体" w:hAnsi="宋体" w:eastAsia="宋体"/>
                <w:sz w:val="16"/>
              </w:rPr>
              <w:t>偏差原因分析及改进措施</w:t>
            </w:r>
          </w:p>
        </w:tc>
      </w:tr>
      <w:tr w14:paraId="3BAA49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05C9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BDFB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04C9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0334F">
            <w:pPr>
              <w:jc w:val="center"/>
            </w:pPr>
            <w:r>
              <w:rPr>
                <w:rFonts w:ascii="宋体" w:hAnsi="宋体" w:eastAsia="宋体"/>
                <w:sz w:val="16"/>
              </w:rPr>
              <w:t>新购置车辆数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8FC3B">
            <w:pPr>
              <w:jc w:val="center"/>
            </w:pPr>
            <w:r>
              <w:rPr>
                <w:rFonts w:ascii="宋体" w:hAnsi="宋体" w:eastAsia="宋体"/>
                <w:sz w:val="16"/>
              </w:rPr>
              <w: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07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626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D2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58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BE8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3720">
            <w:pPr>
              <w:jc w:val="center"/>
            </w:pPr>
            <w:r>
              <w:rPr>
                <w:rFonts w:ascii="宋体" w:hAnsi="宋体" w:eastAsia="宋体"/>
                <w:sz w:val="16"/>
              </w:rPr>
              <w: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3A7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E73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2F35A">
            <w:pPr>
              <w:jc w:val="center"/>
            </w:pPr>
          </w:p>
        </w:tc>
      </w:tr>
      <w:tr w14:paraId="0AE23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0DA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269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BF05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BBE7">
            <w:pPr>
              <w:jc w:val="center"/>
            </w:pPr>
            <w:r>
              <w:rPr>
                <w:rFonts w:ascii="宋体" w:hAnsi="宋体" w:eastAsia="宋体"/>
                <w:sz w:val="16"/>
              </w:rPr>
              <w:t>购置车辆质量合格率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6D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93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53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D73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F2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38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C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FA9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9C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826DF">
            <w:pPr>
              <w:jc w:val="center"/>
            </w:pPr>
          </w:p>
        </w:tc>
      </w:tr>
      <w:tr w14:paraId="003939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CA1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3CF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EE3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A039">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0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A2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48E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11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641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BA8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FDF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ABD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8E2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92CED">
            <w:pPr>
              <w:jc w:val="center"/>
            </w:pPr>
          </w:p>
        </w:tc>
      </w:tr>
      <w:tr w14:paraId="22534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FAC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986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39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8FF61">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2B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7E8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E5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B51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C55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B6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12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77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EBE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144C">
            <w:pPr>
              <w:jc w:val="center"/>
            </w:pPr>
          </w:p>
        </w:tc>
      </w:tr>
      <w:tr w14:paraId="6DDDB3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FDF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B8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4D4B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A2298">
            <w:pPr>
              <w:jc w:val="center"/>
            </w:pPr>
            <w:r>
              <w:rPr>
                <w:rFonts w:ascii="宋体" w:hAnsi="宋体" w:eastAsia="宋体"/>
                <w:sz w:val="16"/>
              </w:rPr>
              <w:t>购置车辆完成时间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A353">
            <w:pPr>
              <w:jc w:val="center"/>
            </w:pPr>
            <w:r>
              <w:rPr>
                <w:rFonts w:ascii="宋体" w:hAnsi="宋体" w:eastAsia="宋体"/>
                <w:sz w:val="16"/>
              </w:rPr>
              <w:t>2024年6月30日前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4B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33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BA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EFCB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FEA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0DFD5">
            <w:pPr>
              <w:jc w:val="center"/>
            </w:pPr>
            <w:r>
              <w:rPr>
                <w:rFonts w:ascii="宋体" w:hAnsi="宋体" w:eastAsia="宋体"/>
                <w:sz w:val="16"/>
              </w:rPr>
              <w:t>2024年2月27日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2E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6D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28AC">
            <w:pPr>
              <w:jc w:val="center"/>
            </w:pPr>
          </w:p>
        </w:tc>
      </w:tr>
      <w:tr w14:paraId="240BF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561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9CFE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8E7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DFD1">
            <w:pPr>
              <w:jc w:val="center"/>
            </w:pPr>
            <w:r>
              <w:rPr>
                <w:rFonts w:ascii="宋体" w:hAnsi="宋体" w:eastAsia="宋体"/>
                <w:sz w:val="16"/>
              </w:rPr>
              <w:t>车辆购置成本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A7EA">
            <w:pPr>
              <w:jc w:val="center"/>
            </w:pPr>
            <w:r>
              <w:rPr>
                <w:rFonts w:ascii="宋体" w:hAnsi="宋体" w:eastAsia="宋体"/>
                <w:sz w:val="16"/>
              </w:rPr>
              <w:t>=17.98万元/辆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4D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F2D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16D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C46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679A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1B46">
            <w:pPr>
              <w:jc w:val="center"/>
            </w:pPr>
            <w:r>
              <w:rPr>
                <w:rFonts w:ascii="宋体" w:hAnsi="宋体" w:eastAsia="宋体"/>
                <w:sz w:val="16"/>
              </w:rPr>
              <w:t>=17.98万元/辆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7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C9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2595D">
            <w:pPr>
              <w:jc w:val="center"/>
            </w:pPr>
          </w:p>
        </w:tc>
      </w:tr>
      <w:tr w14:paraId="4F1EB9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4D8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D33B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336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1B2CE">
            <w:pPr>
              <w:jc w:val="center"/>
            </w:pPr>
            <w:r>
              <w:rPr>
                <w:rFonts w:ascii="宋体" w:hAnsi="宋体" w:eastAsia="宋体"/>
                <w:sz w:val="16"/>
              </w:rPr>
              <w:t>车辆利用率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65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A6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44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243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F4E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FB8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50B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EF9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3C4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0BA5D">
            <w:pPr>
              <w:jc w:val="center"/>
            </w:pPr>
          </w:p>
        </w:tc>
      </w:tr>
      <w:tr w14:paraId="5D93A2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C0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2DD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952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6529">
            <w:pPr>
              <w:jc w:val="center"/>
            </w:pPr>
            <w:r>
              <w:rPr>
                <w:rFonts w:ascii="宋体" w:hAnsi="宋体" w:eastAsia="宋体"/>
                <w:sz w:val="16"/>
              </w:rPr>
              <w:t>提高外出工作效率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A8AB">
            <w:pPr>
              <w:jc w:val="center"/>
            </w:pPr>
            <w:r>
              <w:rPr>
                <w:rFonts w:ascii="宋体" w:hAnsi="宋体" w:eastAsia="宋体"/>
                <w:sz w:val="16"/>
              </w:rPr>
              <w:t>长期有效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9E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52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78F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2E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308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2EC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1C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7454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F536F">
            <w:pPr>
              <w:jc w:val="center"/>
            </w:pPr>
          </w:p>
        </w:tc>
      </w:tr>
      <w:tr w14:paraId="58B8AF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A93C1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9757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BDB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D7A8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B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6F6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A24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2EE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E414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3C6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E71692"/>
        </w:tc>
      </w:tr>
    </w:tbl>
    <w:p w14:paraId="052E0426">
      <w:r>
        <w:br w:type="page"/>
      </w:r>
    </w:p>
    <w:p w14:paraId="05A8FE2E">
      <w:pPr>
        <w:spacing w:line="640" w:lineRule="exact"/>
        <w:ind w:firstLine="640"/>
        <w:jc w:val="both"/>
        <w:outlineLvl w:val="2"/>
      </w:pPr>
      <w:r>
        <w:rPr>
          <w:rFonts w:ascii="黑体" w:hAnsi="黑体" w:eastAsia="黑体"/>
          <w:sz w:val="32"/>
        </w:rPr>
        <w:t>十二、其他需说明的事项</w:t>
      </w:r>
    </w:p>
    <w:p w14:paraId="0D0E6FF6">
      <w:pPr>
        <w:spacing w:line="580" w:lineRule="exact"/>
        <w:ind w:firstLine="640"/>
        <w:jc w:val="both"/>
      </w:pPr>
      <w:r>
        <w:rPr>
          <w:rFonts w:ascii="仿宋_GB2312" w:hAnsi="仿宋_GB2312" w:eastAsia="仿宋_GB2312"/>
          <w:b w:val="0"/>
          <w:sz w:val="32"/>
        </w:rPr>
        <w:t>本年度本部门无整体绩效自评表，由各单位自行编报并公开。</w:t>
      </w:r>
    </w:p>
    <w:p w14:paraId="7094B4C5">
      <w:r>
        <w:br w:type="page"/>
      </w:r>
    </w:p>
    <w:p w14:paraId="2CDBA5D6">
      <w:pPr>
        <w:spacing w:line="240" w:lineRule="auto"/>
        <w:jc w:val="center"/>
        <w:outlineLvl w:val="1"/>
      </w:pPr>
      <w:r>
        <w:rPr>
          <w:rFonts w:ascii="黑体" w:hAnsi="黑体" w:eastAsia="黑体"/>
          <w:sz w:val="32"/>
        </w:rPr>
        <w:t>第三部分 专业名词解释</w:t>
      </w:r>
    </w:p>
    <w:p w14:paraId="48C8077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853469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07F098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F6DE2F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C483E3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C2580A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665742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43022E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FE4F09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DE8C4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304DB9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E64656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43FB91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F2B7A9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7369351">
      <w:r>
        <w:br w:type="page"/>
      </w:r>
    </w:p>
    <w:p w14:paraId="0A1DAFDD">
      <w:pPr>
        <w:spacing w:line="240" w:lineRule="auto"/>
        <w:jc w:val="center"/>
        <w:outlineLvl w:val="1"/>
      </w:pPr>
      <w:r>
        <w:rPr>
          <w:rFonts w:ascii="黑体" w:hAnsi="黑体" w:eastAsia="黑体"/>
          <w:sz w:val="32"/>
        </w:rPr>
        <w:t>第四部分 部门决算报表（见附表）</w:t>
      </w:r>
    </w:p>
    <w:p w14:paraId="4504CD0E">
      <w:pPr>
        <w:spacing w:line="240" w:lineRule="auto"/>
        <w:ind w:firstLine="640"/>
        <w:jc w:val="both"/>
      </w:pPr>
      <w:r>
        <w:rPr>
          <w:rFonts w:ascii="仿宋_GB2312" w:hAnsi="仿宋_GB2312" w:eastAsia="仿宋_GB2312"/>
          <w:b w:val="0"/>
          <w:sz w:val="32"/>
        </w:rPr>
        <w:t>一、《收入支出决算总表》</w:t>
      </w:r>
    </w:p>
    <w:p w14:paraId="167DC307">
      <w:pPr>
        <w:spacing w:line="240" w:lineRule="auto"/>
        <w:ind w:firstLine="640"/>
        <w:jc w:val="both"/>
      </w:pPr>
      <w:r>
        <w:rPr>
          <w:rFonts w:ascii="仿宋_GB2312" w:hAnsi="仿宋_GB2312" w:eastAsia="仿宋_GB2312"/>
          <w:b w:val="0"/>
          <w:sz w:val="32"/>
        </w:rPr>
        <w:t>二、《收入决算表》</w:t>
      </w:r>
    </w:p>
    <w:p w14:paraId="5478E6E7">
      <w:pPr>
        <w:spacing w:line="240" w:lineRule="auto"/>
        <w:ind w:firstLine="640"/>
        <w:jc w:val="both"/>
      </w:pPr>
      <w:r>
        <w:rPr>
          <w:rFonts w:ascii="仿宋_GB2312" w:hAnsi="仿宋_GB2312" w:eastAsia="仿宋_GB2312"/>
          <w:b w:val="0"/>
          <w:sz w:val="32"/>
        </w:rPr>
        <w:t>三、《支出决算表》</w:t>
      </w:r>
    </w:p>
    <w:p w14:paraId="070F2485">
      <w:pPr>
        <w:spacing w:line="240" w:lineRule="auto"/>
        <w:ind w:firstLine="640"/>
        <w:jc w:val="both"/>
      </w:pPr>
      <w:r>
        <w:rPr>
          <w:rFonts w:ascii="仿宋_GB2312" w:hAnsi="仿宋_GB2312" w:eastAsia="仿宋_GB2312"/>
          <w:b w:val="0"/>
          <w:sz w:val="32"/>
        </w:rPr>
        <w:t>四、《财政拨款收入支出决算总表》</w:t>
      </w:r>
    </w:p>
    <w:p w14:paraId="11FDD289">
      <w:pPr>
        <w:spacing w:line="240" w:lineRule="auto"/>
        <w:ind w:firstLine="640"/>
        <w:jc w:val="both"/>
      </w:pPr>
      <w:r>
        <w:rPr>
          <w:rFonts w:ascii="仿宋_GB2312" w:hAnsi="仿宋_GB2312" w:eastAsia="仿宋_GB2312"/>
          <w:b w:val="0"/>
          <w:sz w:val="32"/>
        </w:rPr>
        <w:t>五、《一般公共预算财政拨款支出决算表》</w:t>
      </w:r>
    </w:p>
    <w:p w14:paraId="32C0C98D">
      <w:pPr>
        <w:spacing w:line="240" w:lineRule="auto"/>
        <w:ind w:firstLine="640"/>
        <w:jc w:val="both"/>
      </w:pPr>
      <w:r>
        <w:rPr>
          <w:rFonts w:ascii="仿宋_GB2312" w:hAnsi="仿宋_GB2312" w:eastAsia="仿宋_GB2312"/>
          <w:b w:val="0"/>
          <w:sz w:val="32"/>
        </w:rPr>
        <w:t>六、《一般公共预算财政拨款基本支出决算表》</w:t>
      </w:r>
    </w:p>
    <w:p w14:paraId="6AE7EA8C">
      <w:pPr>
        <w:spacing w:line="240" w:lineRule="auto"/>
        <w:ind w:firstLine="640"/>
        <w:jc w:val="both"/>
      </w:pPr>
      <w:r>
        <w:rPr>
          <w:rFonts w:ascii="仿宋_GB2312" w:hAnsi="仿宋_GB2312" w:eastAsia="仿宋_GB2312"/>
          <w:b w:val="0"/>
          <w:sz w:val="32"/>
        </w:rPr>
        <w:t>七、《政府性基金预算财政拨款收入支出决算表》</w:t>
      </w:r>
    </w:p>
    <w:p w14:paraId="59DB61D5">
      <w:pPr>
        <w:spacing w:line="240" w:lineRule="auto"/>
        <w:ind w:firstLine="640"/>
        <w:jc w:val="both"/>
      </w:pPr>
      <w:r>
        <w:rPr>
          <w:rFonts w:ascii="仿宋_GB2312" w:hAnsi="仿宋_GB2312" w:eastAsia="仿宋_GB2312"/>
          <w:b w:val="0"/>
          <w:sz w:val="32"/>
        </w:rPr>
        <w:t>八、《国有资本经营预算财政拨款收入支出决算表》</w:t>
      </w:r>
    </w:p>
    <w:p w14:paraId="7B73E437">
      <w:pPr>
        <w:spacing w:line="240" w:lineRule="auto"/>
        <w:ind w:firstLine="640"/>
        <w:jc w:val="both"/>
      </w:pPr>
      <w:r>
        <w:rPr>
          <w:rFonts w:ascii="仿宋_GB2312" w:hAnsi="仿宋_GB2312" w:eastAsia="仿宋_GB2312"/>
          <w:b w:val="0"/>
          <w:sz w:val="32"/>
        </w:rPr>
        <w:t>九、《财政拨款“三公”经费支出决算表》</w:t>
      </w:r>
    </w:p>
    <w:p w14:paraId="335F0BB3">
      <w:pPr>
        <w:spacing w:line="240" w:lineRule="auto"/>
        <w:ind w:firstLine="640"/>
        <w:jc w:val="both"/>
      </w:pPr>
    </w:p>
    <w:p w14:paraId="021678A9">
      <w:pPr>
        <w:spacing w:line="240" w:lineRule="auto"/>
        <w:ind w:firstLine="640"/>
        <w:jc w:val="both"/>
      </w:pPr>
    </w:p>
    <w:p w14:paraId="08029C70">
      <w:pPr>
        <w:spacing w:line="240" w:lineRule="auto"/>
        <w:ind w:firstLine="640"/>
        <w:jc w:val="both"/>
      </w:pPr>
    </w:p>
    <w:p w14:paraId="470B35EB">
      <w:pPr>
        <w:spacing w:line="240" w:lineRule="auto"/>
        <w:ind w:firstLine="640"/>
        <w:jc w:val="both"/>
      </w:pPr>
    </w:p>
    <w:p w14:paraId="553CAF2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7D53E6-F7C8-4F9E-AA68-9735271273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F0EC8A9-8F31-41D7-8997-914641BEED8D}"/>
  </w:font>
  <w:font w:name="仿宋_GB2312">
    <w:panose1 w:val="02010609030101010101"/>
    <w:charset w:val="86"/>
    <w:family w:val="modern"/>
    <w:pitch w:val="default"/>
    <w:sig w:usb0="00000001" w:usb1="080E0000" w:usb2="00000000" w:usb3="00000000" w:csb0="00040000" w:csb1="00000000"/>
    <w:embedRegular r:id="rId3" w:fontKey="{72FA7F53-55B1-474A-BBA1-EFB9A0653ABC}"/>
  </w:font>
  <w:font w:name="楷体_GB2312">
    <w:panose1 w:val="02010609030101010101"/>
    <w:charset w:val="86"/>
    <w:family w:val="auto"/>
    <w:pitch w:val="default"/>
    <w:sig w:usb0="00000001" w:usb1="080E0000" w:usb2="00000000" w:usb3="00000000" w:csb0="00040000" w:csb1="00000000"/>
    <w:embedRegular r:id="rId4" w:fontKey="{A22EA1EE-806D-4668-B714-8110383ADB2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BBF7A00"/>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010813"/>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2560</Words>
  <Characters>2842</Characters>
  <Lines>0</Lines>
  <Paragraphs>0</Paragraphs>
  <TotalTime>9</TotalTime>
  <ScaleCrop>false</ScaleCrop>
  <LinksUpToDate>false</LinksUpToDate>
  <CharactersWithSpaces>2850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2025-09-04T11:51:05Z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