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中共和硕县委员会统一战线工作部2024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DC0E6D6">
      <w:r>
        <w:br w:type="page"/>
      </w:r>
    </w:p>
    <w:p w14:paraId="0E459827">
      <w:pPr>
        <w:spacing w:line="640" w:lineRule="exact"/>
        <w:jc w:val="center"/>
        <w:outlineLvl w:val="1"/>
      </w:pPr>
      <w:r>
        <w:rPr>
          <w:rFonts w:ascii="黑体" w:hAnsi="黑体" w:eastAsia="黑体"/>
          <w:sz w:val="32"/>
        </w:rPr>
        <w:t>第一部分 单位概况</w:t>
      </w:r>
    </w:p>
    <w:p w14:paraId="30777FDC">
      <w:pPr>
        <w:spacing w:line="640" w:lineRule="exact"/>
        <w:ind w:firstLine="640"/>
        <w:jc w:val="both"/>
        <w:outlineLvl w:val="2"/>
      </w:pPr>
      <w:r>
        <w:rPr>
          <w:rFonts w:ascii="黑体" w:hAnsi="黑体" w:eastAsia="黑体"/>
          <w:sz w:val="32"/>
        </w:rPr>
        <w:t>一、主要职能</w:t>
      </w:r>
    </w:p>
    <w:p w14:paraId="084BC6A8">
      <w:pPr>
        <w:spacing w:line="580" w:lineRule="exact"/>
        <w:ind w:firstLine="640"/>
        <w:jc w:val="both"/>
      </w:pPr>
      <w:r>
        <w:rPr>
          <w:rFonts w:ascii="仿宋_GB2312" w:hAnsi="仿宋_GB2312" w:eastAsia="仿宋_GB2312"/>
          <w:sz w:val="32"/>
        </w:rPr>
        <w:t>（一）组织贯彻执行中央、自治区、自治州和县委关于统一战线的方针、政策、指示、决议，调查研究统一战线工作新情况新问题，及时向县委反映情况，提出开展统战工作的意见和建议。</w:t>
      </w:r>
    </w:p>
    <w:p w14:paraId="5118E7E8">
      <w:pPr>
        <w:spacing w:line="580" w:lineRule="exact"/>
        <w:ind w:firstLine="640"/>
        <w:jc w:val="both"/>
      </w:pPr>
      <w:r>
        <w:rPr>
          <w:rFonts w:ascii="仿宋_GB2312" w:hAnsi="仿宋_GB2312" w:eastAsia="仿宋_GB2312"/>
          <w:sz w:val="32"/>
        </w:rPr>
        <w:t>（二）负责协调县委同党外代表人士保持密切联系，协助县委贯彻党领导的多党合作和政治协商制度；落实中央关于发挥各界党外代表人士参政议政和民主监督作用的工作；及时通报情况，听取党外人士的意见和建议。负责党外人士的政治安排；会同有关部门做好培养、考察、选拔、推荐、安排党外人士担任政府及其部门和司法机关领导职务的工作；做好党外后备干部和新的代表人物队伍建设工作。</w:t>
      </w:r>
    </w:p>
    <w:p w14:paraId="71D3DDD1">
      <w:pPr>
        <w:spacing w:line="580" w:lineRule="exact"/>
        <w:ind w:firstLine="640"/>
        <w:jc w:val="both"/>
      </w:pPr>
      <w:r>
        <w:rPr>
          <w:rFonts w:ascii="仿宋_GB2312" w:hAnsi="仿宋_GB2312" w:eastAsia="仿宋_GB2312"/>
          <w:sz w:val="32"/>
        </w:rPr>
        <w:t>（三）负责联系海内外工商界社团和代表人士，开展经济领域的统战工作。</w:t>
      </w:r>
    </w:p>
    <w:p w14:paraId="08EF4F73">
      <w:pPr>
        <w:spacing w:line="580" w:lineRule="exact"/>
        <w:ind w:firstLine="640"/>
        <w:jc w:val="both"/>
      </w:pPr>
      <w:r>
        <w:rPr>
          <w:rFonts w:ascii="仿宋_GB2312" w:hAnsi="仿宋_GB2312" w:eastAsia="仿宋_GB2312"/>
          <w:sz w:val="32"/>
        </w:rPr>
        <w:t>（四）受县委委托领导和指导县工商联工作；调查、研究并反映我县非公有制经济代表人士的情况，协调关系，提出政策建议；联系非公有制经济代表人士，做好团结教育工作。</w:t>
      </w:r>
    </w:p>
    <w:p w14:paraId="478DDD05">
      <w:pPr>
        <w:spacing w:line="580" w:lineRule="exact"/>
        <w:ind w:firstLine="640"/>
        <w:jc w:val="both"/>
      </w:pPr>
      <w:r>
        <w:rPr>
          <w:rFonts w:ascii="仿宋_GB2312" w:hAnsi="仿宋_GB2312" w:eastAsia="仿宋_GB2312"/>
          <w:sz w:val="32"/>
        </w:rPr>
        <w:t>（五）掌握党外知识分子的情况，反映他们的意见，协调关系，提出政策建议；联系并培养党外知识分子代表人物，会同有关部门做好政治、生活待遇的安排。</w:t>
      </w:r>
    </w:p>
    <w:p w14:paraId="6E3D385C">
      <w:pPr>
        <w:spacing w:line="580" w:lineRule="exact"/>
        <w:ind w:firstLine="640"/>
        <w:jc w:val="both"/>
      </w:pPr>
      <w:r>
        <w:rPr>
          <w:rFonts w:ascii="仿宋_GB2312" w:hAnsi="仿宋_GB2312" w:eastAsia="仿宋_GB2312"/>
          <w:sz w:val="32"/>
        </w:rPr>
        <w:t>（六）负责统一战线的宣传工作。负责指导各乡镇党委统战工作，协调各有关部门的统战工作，负责统战干部和党外干部的培训工作。</w:t>
      </w:r>
    </w:p>
    <w:p w14:paraId="51222818">
      <w:pPr>
        <w:spacing w:line="580" w:lineRule="exact"/>
        <w:ind w:firstLine="640"/>
        <w:jc w:val="both"/>
      </w:pPr>
      <w:r>
        <w:rPr>
          <w:rFonts w:ascii="仿宋_GB2312" w:hAnsi="仿宋_GB2312" w:eastAsia="仿宋_GB2312"/>
          <w:sz w:val="32"/>
        </w:rPr>
        <w:t>（七）完成县委和州委统战部交办的其他工作。</w:t>
      </w:r>
    </w:p>
    <w:p w14:paraId="3226A09B">
      <w:pPr>
        <w:spacing w:line="640" w:lineRule="exact"/>
        <w:ind w:firstLine="640"/>
        <w:jc w:val="both"/>
        <w:outlineLvl w:val="2"/>
      </w:pPr>
      <w:r>
        <w:rPr>
          <w:rFonts w:ascii="黑体" w:hAnsi="黑体" w:eastAsia="黑体"/>
          <w:sz w:val="32"/>
        </w:rPr>
        <w:t>二、机构设置及人员情况</w:t>
      </w:r>
    </w:p>
    <w:p w14:paraId="31E00786">
      <w:pPr>
        <w:spacing w:line="580" w:lineRule="exact"/>
        <w:ind w:firstLine="640"/>
        <w:jc w:val="both"/>
      </w:pPr>
      <w:r>
        <w:rPr>
          <w:rFonts w:ascii="仿宋_GB2312" w:hAnsi="仿宋_GB2312" w:eastAsia="仿宋_GB2312"/>
          <w:sz w:val="32"/>
        </w:rPr>
        <w:t>中共和硕县委员会统一战线工作部2024年度，实有人数35人，其中：在职人员14人，增加1人；离休人员0人，增加0人；退休人员21人,增加3人。</w:t>
      </w:r>
    </w:p>
    <w:p w14:paraId="56D10D7B">
      <w:pPr>
        <w:spacing w:line="580" w:lineRule="exact"/>
        <w:ind w:firstLine="640"/>
        <w:jc w:val="both"/>
      </w:pPr>
      <w:r>
        <w:rPr>
          <w:rFonts w:ascii="仿宋_GB2312" w:hAnsi="仿宋_GB2312" w:eastAsia="仿宋_GB2312"/>
          <w:sz w:val="32"/>
        </w:rPr>
        <w:t>中共和硕县委员会统一战线工作部无下属预算单位，下设2个科室，分别是：和硕县民宗执法大队、和硕县社会主义学院。</w:t>
      </w:r>
    </w:p>
    <w:p w14:paraId="351EA227">
      <w:r>
        <w:br w:type="page"/>
      </w:r>
    </w:p>
    <w:p w14:paraId="4897E1B1">
      <w:pPr>
        <w:spacing w:line="240" w:lineRule="auto"/>
        <w:jc w:val="center"/>
        <w:outlineLvl w:val="1"/>
      </w:pPr>
      <w:r>
        <w:rPr>
          <w:rFonts w:ascii="黑体" w:hAnsi="黑体" w:eastAsia="黑体"/>
          <w:sz w:val="32"/>
        </w:rPr>
        <w:t>第二部分 部门决算情况说明</w:t>
      </w:r>
    </w:p>
    <w:p w14:paraId="7A7E0872">
      <w:pPr>
        <w:spacing w:line="640" w:lineRule="exact"/>
        <w:ind w:firstLine="640"/>
        <w:jc w:val="both"/>
        <w:outlineLvl w:val="2"/>
      </w:pPr>
      <w:r>
        <w:rPr>
          <w:rFonts w:ascii="黑体" w:hAnsi="黑体" w:eastAsia="黑体"/>
          <w:sz w:val="32"/>
        </w:rPr>
        <w:t>一、收入支出决算总体情况说明</w:t>
      </w:r>
    </w:p>
    <w:p w14:paraId="40F482D4">
      <w:pPr>
        <w:spacing w:line="580" w:lineRule="exact"/>
        <w:ind w:firstLine="640"/>
        <w:jc w:val="both"/>
      </w:pPr>
      <w:r>
        <w:rPr>
          <w:rFonts w:ascii="仿宋_GB2312" w:hAnsi="仿宋_GB2312" w:eastAsia="仿宋_GB2312"/>
          <w:b/>
          <w:sz w:val="32"/>
        </w:rPr>
        <w:t>2024年度收入总计363.20万元，</w:t>
      </w:r>
      <w:r>
        <w:rPr>
          <w:rFonts w:ascii="仿宋_GB2312" w:hAnsi="仿宋_GB2312" w:eastAsia="仿宋_GB2312"/>
          <w:b w:val="0"/>
          <w:sz w:val="32"/>
        </w:rPr>
        <w:t>其中：本年收入合计360.12万元，使用非财政拨款结余（含专用结余）0.00万元，年初结转和结余3.07万元。</w:t>
      </w:r>
    </w:p>
    <w:p w14:paraId="5822F7C6">
      <w:pPr>
        <w:spacing w:line="580" w:lineRule="exact"/>
        <w:ind w:firstLine="640"/>
        <w:jc w:val="both"/>
      </w:pPr>
      <w:r>
        <w:rPr>
          <w:rFonts w:ascii="仿宋_GB2312" w:hAnsi="仿宋_GB2312" w:eastAsia="仿宋_GB2312"/>
          <w:b/>
          <w:sz w:val="32"/>
        </w:rPr>
        <w:t>2024年度支出总计363.20万元，</w:t>
      </w:r>
      <w:r>
        <w:rPr>
          <w:rFonts w:ascii="仿宋_GB2312" w:hAnsi="仿宋_GB2312" w:eastAsia="仿宋_GB2312"/>
          <w:b w:val="0"/>
          <w:sz w:val="32"/>
        </w:rPr>
        <w:t>其中：本年支出合计362.92万元，结余分配0.00万元，年末结转和结余0.28万元。</w:t>
      </w:r>
    </w:p>
    <w:p w14:paraId="56958C37">
      <w:pPr>
        <w:spacing w:line="580" w:lineRule="exact"/>
        <w:ind w:firstLine="640"/>
        <w:jc w:val="both"/>
      </w:pPr>
      <w:r>
        <w:rPr>
          <w:rFonts w:ascii="仿宋_GB2312" w:hAnsi="仿宋_GB2312" w:eastAsia="仿宋_GB2312"/>
          <w:b w:val="0"/>
          <w:sz w:val="32"/>
        </w:rPr>
        <w:t>收入支出总体与上年相比，减少93.04万元，下降20.39%，主要原因是：本年度减少活动场所修缮费用、民族团结创建工作经费、民族满意贴息贷款等项目资金，故收入支出总体与上年相比减少。</w:t>
      </w:r>
    </w:p>
    <w:p w14:paraId="382DF48E">
      <w:pPr>
        <w:spacing w:line="640" w:lineRule="exact"/>
        <w:ind w:firstLine="640"/>
        <w:jc w:val="both"/>
        <w:outlineLvl w:val="2"/>
      </w:pPr>
      <w:r>
        <w:rPr>
          <w:rFonts w:ascii="黑体" w:hAnsi="黑体" w:eastAsia="黑体"/>
          <w:sz w:val="32"/>
        </w:rPr>
        <w:t>二、收入决算情况说明</w:t>
      </w:r>
    </w:p>
    <w:p w14:paraId="5FADE938">
      <w:pPr>
        <w:spacing w:line="580" w:lineRule="exact"/>
        <w:ind w:firstLine="640"/>
        <w:jc w:val="both"/>
      </w:pPr>
      <w:r>
        <w:rPr>
          <w:rFonts w:ascii="仿宋_GB2312" w:hAnsi="仿宋_GB2312" w:eastAsia="仿宋_GB2312"/>
          <w:b/>
          <w:sz w:val="32"/>
        </w:rPr>
        <w:t>本年收入360.12万元，</w:t>
      </w:r>
      <w:r>
        <w:rPr>
          <w:rFonts w:ascii="仿宋_GB2312" w:hAnsi="仿宋_GB2312" w:eastAsia="仿宋_GB2312"/>
          <w:b w:val="0"/>
          <w:sz w:val="32"/>
        </w:rPr>
        <w:t>其中：财政拨款收入350.40万元，占97.30%；上级补助收入0.00万元，占0.00%；事业收入0.00万元，占0.00%；经营收入0.00万元，占0.00%；附属单位上缴收入0.00万元，占0.00%；其他收入9.73万元，占2.70%。</w:t>
      </w:r>
    </w:p>
    <w:p w14:paraId="55D0A22C">
      <w:pPr>
        <w:spacing w:line="640" w:lineRule="exact"/>
        <w:ind w:firstLine="640"/>
        <w:jc w:val="both"/>
        <w:outlineLvl w:val="2"/>
      </w:pPr>
      <w:r>
        <w:rPr>
          <w:rFonts w:ascii="黑体" w:hAnsi="黑体" w:eastAsia="黑体"/>
          <w:sz w:val="32"/>
        </w:rPr>
        <w:t>三、支出决算情况说明</w:t>
      </w:r>
    </w:p>
    <w:p w14:paraId="7CA8AC2A">
      <w:pPr>
        <w:spacing w:line="580" w:lineRule="exact"/>
        <w:ind w:firstLine="640"/>
        <w:jc w:val="both"/>
      </w:pPr>
      <w:r>
        <w:rPr>
          <w:rFonts w:ascii="仿宋_GB2312" w:hAnsi="仿宋_GB2312" w:eastAsia="仿宋_GB2312"/>
          <w:b/>
          <w:sz w:val="32"/>
        </w:rPr>
        <w:t>本年支出362.92万元，</w:t>
      </w:r>
      <w:r>
        <w:rPr>
          <w:rFonts w:ascii="仿宋_GB2312" w:hAnsi="仿宋_GB2312" w:eastAsia="仿宋_GB2312"/>
          <w:b w:val="0"/>
          <w:sz w:val="32"/>
        </w:rPr>
        <w:t>其中：基本支出362.92万元，占100.00%；项目支出0.00万元，占0.00%；上缴上级支出0.00万元，占0.00%；经营支出0.00万元，占0.00%；对附属单位补助支出0.00万元，占0.00%。</w:t>
      </w:r>
    </w:p>
    <w:p w14:paraId="57B9C556">
      <w:pPr>
        <w:spacing w:line="640" w:lineRule="exact"/>
        <w:ind w:firstLine="640"/>
        <w:jc w:val="both"/>
        <w:outlineLvl w:val="2"/>
      </w:pPr>
      <w:r>
        <w:rPr>
          <w:rFonts w:ascii="黑体" w:hAnsi="黑体" w:eastAsia="黑体"/>
          <w:sz w:val="32"/>
        </w:rPr>
        <w:t>四、财政拨款收入支出决算总体情况说明</w:t>
      </w:r>
    </w:p>
    <w:p w14:paraId="433E3177">
      <w:pPr>
        <w:spacing w:line="580" w:lineRule="exact"/>
        <w:ind w:firstLine="640"/>
        <w:jc w:val="both"/>
      </w:pPr>
      <w:r>
        <w:rPr>
          <w:rFonts w:ascii="仿宋_GB2312" w:hAnsi="仿宋_GB2312" w:eastAsia="仿宋_GB2312"/>
          <w:b/>
          <w:sz w:val="32"/>
        </w:rPr>
        <w:t>2024年度财政拨款收入总计350.40万元，</w:t>
      </w:r>
      <w:r>
        <w:rPr>
          <w:rFonts w:ascii="仿宋_GB2312" w:hAnsi="仿宋_GB2312" w:eastAsia="仿宋_GB2312"/>
          <w:b w:val="0"/>
          <w:sz w:val="32"/>
        </w:rPr>
        <w:t>其中：年初财政拨款结转和结余0.00万元，本年财政拨款收入350.40万元。</w:t>
      </w:r>
      <w:r>
        <w:rPr>
          <w:rFonts w:ascii="仿宋_GB2312" w:hAnsi="仿宋_GB2312" w:eastAsia="仿宋_GB2312"/>
          <w:b/>
          <w:sz w:val="32"/>
        </w:rPr>
        <w:t>财政拨款支出总计350.40万元，</w:t>
      </w:r>
      <w:r>
        <w:rPr>
          <w:rFonts w:ascii="仿宋_GB2312" w:hAnsi="仿宋_GB2312" w:eastAsia="仿宋_GB2312"/>
          <w:b w:val="0"/>
          <w:sz w:val="32"/>
        </w:rPr>
        <w:t>其中：年末财政拨款结转和结余0.00万元，本年财政拨款支出350.40万元。</w:t>
      </w:r>
    </w:p>
    <w:p w14:paraId="7F502EE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减少102.77万元，下降22.68%，主要原因是：本年度减少活动场所修缮费用、民族团结创建工作经费、民族满意贴息贷款等项目资金，故收入支出总体与上年相比减少。</w:t>
      </w:r>
      <w:r>
        <w:rPr>
          <w:rFonts w:ascii="仿宋_GB2312" w:hAnsi="仿宋_GB2312" w:eastAsia="仿宋_GB2312"/>
          <w:b/>
          <w:sz w:val="32"/>
        </w:rPr>
        <w:t>与年初预算相比，</w:t>
      </w:r>
      <w:r>
        <w:rPr>
          <w:rFonts w:ascii="仿宋_GB2312" w:hAnsi="仿宋_GB2312" w:eastAsia="仿宋_GB2312"/>
          <w:b w:val="0"/>
          <w:sz w:val="32"/>
        </w:rPr>
        <w:t>年初预算数364.36万元，决算数350.40万元，预决算差异率-3.83%，主要原因是：年中调减活动场所修缮费用、更换视频监控质保金。</w:t>
      </w:r>
    </w:p>
    <w:p w14:paraId="7FB79090">
      <w:pPr>
        <w:spacing w:line="640" w:lineRule="exact"/>
        <w:ind w:firstLine="640"/>
        <w:jc w:val="both"/>
        <w:outlineLvl w:val="2"/>
      </w:pPr>
      <w:r>
        <w:rPr>
          <w:rFonts w:ascii="黑体" w:hAnsi="黑体" w:eastAsia="黑体"/>
          <w:sz w:val="32"/>
        </w:rPr>
        <w:t>五、一般公共预算财政拨款支出决算情况说明</w:t>
      </w:r>
    </w:p>
    <w:p w14:paraId="5AA2B2FB">
      <w:pPr>
        <w:spacing w:line="640" w:lineRule="exact"/>
        <w:ind w:firstLine="640"/>
        <w:jc w:val="both"/>
        <w:outlineLvl w:val="3"/>
      </w:pPr>
      <w:r>
        <w:rPr>
          <w:rFonts w:ascii="楷体_GB2312" w:hAnsi="楷体_GB2312" w:eastAsia="楷体_GB2312"/>
          <w:b/>
          <w:sz w:val="32"/>
        </w:rPr>
        <w:t>（一）一般公共预算财政拨款支出决算总体情况</w:t>
      </w:r>
    </w:p>
    <w:p w14:paraId="45AA7684">
      <w:pPr>
        <w:spacing w:line="580" w:lineRule="exact"/>
        <w:ind w:firstLine="640"/>
        <w:jc w:val="both"/>
      </w:pPr>
      <w:r>
        <w:rPr>
          <w:rFonts w:ascii="仿宋_GB2312" w:hAnsi="仿宋_GB2312" w:eastAsia="仿宋_GB2312"/>
          <w:b/>
          <w:sz w:val="32"/>
        </w:rPr>
        <w:t>2024年度一般公共预算财政拨款支出350.40万元，</w:t>
      </w:r>
      <w:r>
        <w:rPr>
          <w:rFonts w:ascii="仿宋_GB2312" w:hAnsi="仿宋_GB2312" w:eastAsia="仿宋_GB2312"/>
          <w:b w:val="0"/>
          <w:sz w:val="32"/>
        </w:rPr>
        <w:t>占本年支出合计的96.55%。</w:t>
      </w:r>
      <w:r>
        <w:rPr>
          <w:rFonts w:ascii="仿宋_GB2312" w:hAnsi="仿宋_GB2312" w:eastAsia="仿宋_GB2312"/>
          <w:b/>
          <w:sz w:val="32"/>
        </w:rPr>
        <w:t>与上年相比，</w:t>
      </w:r>
      <w:r>
        <w:rPr>
          <w:rFonts w:ascii="仿宋_GB2312" w:hAnsi="仿宋_GB2312" w:eastAsia="仿宋_GB2312"/>
          <w:b w:val="0"/>
          <w:sz w:val="32"/>
        </w:rPr>
        <w:t>减少102.77万元，下降22.68%，主要原因是：本年度减少活动场所修缮费用、民族团结创建工作经费、民族满意贴息贷款等项目资金，故</w:t>
      </w:r>
      <w:r>
        <w:rPr>
          <w:rFonts w:hint="eastAsia" w:ascii="仿宋_GB2312" w:hAnsi="仿宋_GB2312" w:eastAsia="仿宋_GB2312"/>
          <w:b w:val="0"/>
          <w:sz w:val="32"/>
          <w:lang w:eastAsia="zh-CN"/>
        </w:rPr>
        <w:t>经费</w:t>
      </w:r>
      <w:r>
        <w:rPr>
          <w:rFonts w:ascii="仿宋_GB2312" w:hAnsi="仿宋_GB2312" w:eastAsia="仿宋_GB2312"/>
          <w:b w:val="0"/>
          <w:sz w:val="32"/>
        </w:rPr>
        <w:t>与上年相比减少。</w:t>
      </w:r>
      <w:r>
        <w:rPr>
          <w:rFonts w:ascii="仿宋_GB2312" w:hAnsi="仿宋_GB2312" w:eastAsia="仿宋_GB2312"/>
          <w:b/>
          <w:sz w:val="32"/>
        </w:rPr>
        <w:t>与年初预算相比,</w:t>
      </w:r>
      <w:r>
        <w:rPr>
          <w:rFonts w:ascii="仿宋_GB2312" w:hAnsi="仿宋_GB2312" w:eastAsia="仿宋_GB2312"/>
          <w:b w:val="0"/>
          <w:sz w:val="32"/>
        </w:rPr>
        <w:t>年初预算数364.36万元，决算数350.40万元，预决算差异率-3.83%，主要原因是：年中调减活动场所修缮费用、更换视频监控质保金。</w:t>
      </w:r>
    </w:p>
    <w:p w14:paraId="7BA646F4">
      <w:pPr>
        <w:spacing w:line="640" w:lineRule="exact"/>
        <w:ind w:firstLine="640"/>
        <w:jc w:val="both"/>
        <w:outlineLvl w:val="3"/>
      </w:pPr>
      <w:r>
        <w:rPr>
          <w:rFonts w:ascii="楷体_GB2312" w:hAnsi="楷体_GB2312" w:eastAsia="楷体_GB2312"/>
          <w:b/>
          <w:sz w:val="32"/>
        </w:rPr>
        <w:t>（二）一般公共预算财政拨款支出决算结构情况</w:t>
      </w:r>
    </w:p>
    <w:p w14:paraId="5CE98E09">
      <w:pPr>
        <w:spacing w:line="580" w:lineRule="exact"/>
        <w:ind w:firstLine="640"/>
        <w:jc w:val="both"/>
      </w:pPr>
      <w:r>
        <w:rPr>
          <w:rFonts w:ascii="仿宋_GB2312" w:hAnsi="仿宋_GB2312" w:eastAsia="仿宋_GB2312"/>
          <w:b w:val="0"/>
          <w:sz w:val="32"/>
        </w:rPr>
        <w:t>1.一般公共服务支出(类)254.22万元,占72.55%。</w:t>
      </w:r>
    </w:p>
    <w:p w14:paraId="43361A07">
      <w:pPr>
        <w:spacing w:line="580" w:lineRule="exact"/>
        <w:ind w:firstLine="640"/>
        <w:jc w:val="both"/>
      </w:pPr>
      <w:r>
        <w:rPr>
          <w:rFonts w:ascii="仿宋_GB2312" w:hAnsi="仿宋_GB2312" w:eastAsia="仿宋_GB2312"/>
          <w:b w:val="0"/>
          <w:sz w:val="32"/>
        </w:rPr>
        <w:t>2.教育支出(类)0.22万元,占0.06%。</w:t>
      </w:r>
    </w:p>
    <w:p w14:paraId="1A91C7B2">
      <w:pPr>
        <w:spacing w:line="580" w:lineRule="exact"/>
        <w:ind w:firstLine="640"/>
        <w:jc w:val="both"/>
      </w:pPr>
      <w:r>
        <w:rPr>
          <w:rFonts w:ascii="仿宋_GB2312" w:hAnsi="仿宋_GB2312" w:eastAsia="仿宋_GB2312"/>
          <w:b w:val="0"/>
          <w:sz w:val="32"/>
        </w:rPr>
        <w:t>3.社会保障和就业支出(类)63.37万元,占18.09%。</w:t>
      </w:r>
    </w:p>
    <w:p w14:paraId="421886E9">
      <w:pPr>
        <w:spacing w:line="580" w:lineRule="exact"/>
        <w:ind w:firstLine="640"/>
        <w:jc w:val="both"/>
      </w:pPr>
      <w:r>
        <w:rPr>
          <w:rFonts w:ascii="仿宋_GB2312" w:hAnsi="仿宋_GB2312" w:eastAsia="仿宋_GB2312"/>
          <w:b w:val="0"/>
          <w:sz w:val="32"/>
        </w:rPr>
        <w:t>4.卫生健康支出(类)13.70万元,占3.91%。</w:t>
      </w:r>
    </w:p>
    <w:p w14:paraId="0A3DF178">
      <w:pPr>
        <w:spacing w:line="580" w:lineRule="exact"/>
        <w:ind w:firstLine="640"/>
        <w:jc w:val="both"/>
      </w:pPr>
      <w:r>
        <w:rPr>
          <w:rFonts w:ascii="仿宋_GB2312" w:hAnsi="仿宋_GB2312" w:eastAsia="仿宋_GB2312"/>
          <w:b w:val="0"/>
          <w:sz w:val="32"/>
        </w:rPr>
        <w:t>5.住房保障支出(类)18.89万元,占5.39%。</w:t>
      </w:r>
    </w:p>
    <w:p w14:paraId="3D177008">
      <w:pPr>
        <w:spacing w:line="640" w:lineRule="exact"/>
        <w:ind w:firstLine="640"/>
        <w:jc w:val="both"/>
        <w:outlineLvl w:val="3"/>
      </w:pPr>
      <w:r>
        <w:rPr>
          <w:rFonts w:ascii="楷体_GB2312" w:hAnsi="楷体_GB2312" w:eastAsia="楷体_GB2312"/>
          <w:b/>
          <w:sz w:val="32"/>
        </w:rPr>
        <w:t>（三）一般公共预算财政拨款支出决算具体情况</w:t>
      </w:r>
    </w:p>
    <w:p w14:paraId="41E27FF0">
      <w:pPr>
        <w:spacing w:line="580" w:lineRule="exact"/>
        <w:ind w:firstLine="640"/>
        <w:jc w:val="both"/>
      </w:pPr>
      <w:r>
        <w:rPr>
          <w:rFonts w:ascii="仿宋_GB2312" w:hAnsi="仿宋_GB2312" w:eastAsia="仿宋_GB2312"/>
          <w:b w:val="0"/>
          <w:sz w:val="32"/>
        </w:rPr>
        <w:t>1.一般公共服务支出(类)统战事务(款)行政运行(项):支出决算数为152.60万元，比上年决算减少16.54万元，下降9.78%,主要原因是：本年人员变动，人员职级不同，工资基数不同，相关人员经费支出减少，减少邮电费。</w:t>
      </w:r>
    </w:p>
    <w:p w14:paraId="5075E19F">
      <w:pPr>
        <w:spacing w:line="580" w:lineRule="exact"/>
        <w:ind w:firstLine="640"/>
        <w:jc w:val="both"/>
      </w:pPr>
      <w:r>
        <w:rPr>
          <w:rFonts w:ascii="仿宋_GB2312" w:hAnsi="仿宋_GB2312" w:eastAsia="仿宋_GB2312"/>
          <w:b w:val="0"/>
          <w:sz w:val="32"/>
        </w:rPr>
        <w:t>2.一般公共服务支出(类)统战事务(款)宗教事务(项):支出决算数为49.05万元，比上年决算减少33.27万元，下降40.42%,主要原因是：本年度减少活动场所修缮费用、更换视频监控质保金，</w:t>
      </w:r>
      <w:r>
        <w:rPr>
          <w:rFonts w:hint="eastAsia" w:ascii="仿宋_GB2312" w:hAnsi="仿宋_GB2312" w:eastAsia="仿宋_GB2312"/>
          <w:b w:val="0"/>
          <w:sz w:val="32"/>
          <w:lang w:eastAsia="zh-CN"/>
        </w:rPr>
        <w:t>相应经费减少</w:t>
      </w:r>
      <w:r>
        <w:rPr>
          <w:rFonts w:ascii="仿宋_GB2312" w:hAnsi="仿宋_GB2312" w:eastAsia="仿宋_GB2312"/>
          <w:b w:val="0"/>
          <w:sz w:val="32"/>
        </w:rPr>
        <w:t>。</w:t>
      </w:r>
    </w:p>
    <w:p w14:paraId="44CAB8EB">
      <w:pPr>
        <w:spacing w:line="580" w:lineRule="exact"/>
        <w:ind w:firstLine="640"/>
        <w:jc w:val="both"/>
      </w:pPr>
      <w:r>
        <w:rPr>
          <w:rFonts w:ascii="仿宋_GB2312" w:hAnsi="仿宋_GB2312" w:eastAsia="仿宋_GB2312"/>
          <w:b w:val="0"/>
          <w:sz w:val="32"/>
        </w:rPr>
        <w:t>3.一般公共服务支出(类)统战事务(款)事业运行(项):支出决算数为46.15万元，比上年决算增加14.23万元，增长44.58%,主要原因是：本年度新增事业编制人员，故较上年事业运行支出较上年增加。</w:t>
      </w:r>
    </w:p>
    <w:p w14:paraId="02C4FBD6">
      <w:pPr>
        <w:spacing w:line="580" w:lineRule="exact"/>
        <w:ind w:firstLine="640"/>
        <w:jc w:val="both"/>
      </w:pPr>
      <w:r>
        <w:rPr>
          <w:rFonts w:ascii="仿宋_GB2312" w:hAnsi="仿宋_GB2312" w:eastAsia="仿宋_GB2312"/>
          <w:b w:val="0"/>
          <w:sz w:val="32"/>
        </w:rPr>
        <w:t>4.一般公共服务支出(类)统战事务(款)其他统战事务支出(项):支出决算数为6.43万元，比上年决算减少53.21万元，下降89.22%,主要原因是：本年度减少民族团结创建工作经费，故其他统战事务支出与上年相比减少。</w:t>
      </w:r>
    </w:p>
    <w:p w14:paraId="4A84A843">
      <w:pPr>
        <w:spacing w:line="580" w:lineRule="exact"/>
        <w:ind w:firstLine="640"/>
        <w:jc w:val="both"/>
      </w:pPr>
      <w:r>
        <w:rPr>
          <w:rFonts w:ascii="仿宋_GB2312" w:hAnsi="仿宋_GB2312" w:eastAsia="仿宋_GB2312"/>
          <w:b w:val="0"/>
          <w:sz w:val="32"/>
        </w:rPr>
        <w:t>5.教育支出(类)进修及培训(款)培训支出(项):支出决算数为0.22万元，比上年决算增加0.22万元，增长100.00%,主要原因是：本年度新增人员参加青年干部培训班，故培训支出较上年增加。</w:t>
      </w:r>
    </w:p>
    <w:p w14:paraId="2900AE8E">
      <w:pPr>
        <w:spacing w:line="580" w:lineRule="exact"/>
        <w:ind w:firstLine="640"/>
        <w:jc w:val="both"/>
      </w:pPr>
      <w:r>
        <w:rPr>
          <w:rFonts w:ascii="仿宋_GB2312" w:hAnsi="仿宋_GB2312" w:eastAsia="仿宋_GB2312"/>
          <w:b w:val="0"/>
          <w:sz w:val="32"/>
        </w:rPr>
        <w:t>6.社会保障和就业支出(类)民政管理事务(款)基层政权建设和社区治理(项):支出决算数为0.00万元，比上年决算减少2.00万元，下降100.00%,主要原因是：本年度未安排社区第一书记经费。</w:t>
      </w:r>
    </w:p>
    <w:p w14:paraId="1B4F4FFA">
      <w:pPr>
        <w:spacing w:line="580" w:lineRule="exact"/>
        <w:ind w:firstLine="640"/>
        <w:jc w:val="both"/>
      </w:pPr>
      <w:r>
        <w:rPr>
          <w:rFonts w:ascii="仿宋_GB2312" w:hAnsi="仿宋_GB2312" w:eastAsia="仿宋_GB2312"/>
          <w:b w:val="0"/>
          <w:sz w:val="32"/>
        </w:rPr>
        <w:t>7.社会保障和就业支出(类)行政事业单位养老支出(款)行政单位离退休(项):支出决算数为15.02万元，比上年决算增加5.45万元，增长56.95%,主要原因是：本年退休人员增加，发放退休人员基础绩效，退休费支出增加。</w:t>
      </w:r>
    </w:p>
    <w:p w14:paraId="6987A1CF">
      <w:pPr>
        <w:spacing w:line="580" w:lineRule="exact"/>
        <w:ind w:firstLine="640"/>
        <w:jc w:val="both"/>
      </w:pPr>
      <w:r>
        <w:rPr>
          <w:rFonts w:ascii="仿宋_GB2312" w:hAnsi="仿宋_GB2312" w:eastAsia="仿宋_GB2312"/>
          <w:b w:val="0"/>
          <w:sz w:val="32"/>
        </w:rPr>
        <w:t>8.社会保障和就业支出(类)行政事业单位养老支出(款)机关事业单位基本养老保险缴费支出(项):支出决算数为23.24万元，比上年决算增加1.32万元，增长6.02%,主要原因是：本年在职人员增加，养老保险缴费较上年增加。</w:t>
      </w:r>
    </w:p>
    <w:p w14:paraId="51720F0D">
      <w:pPr>
        <w:spacing w:line="580" w:lineRule="exact"/>
        <w:ind w:firstLine="640"/>
        <w:jc w:val="both"/>
      </w:pPr>
      <w:r>
        <w:rPr>
          <w:rFonts w:ascii="仿宋_GB2312" w:hAnsi="仿宋_GB2312" w:eastAsia="仿宋_GB2312"/>
          <w:b w:val="0"/>
          <w:sz w:val="32"/>
        </w:rPr>
        <w:t>9.社会保障和就业支出(类)行政事业单位养老支出(款)机关事业单位职业年金缴费支出(项):支出决算数为25.11万元，比上年决算增加18.43万元，增长275.90%,主要原因是：本年新增退休人员</w:t>
      </w:r>
      <w:r>
        <w:rPr>
          <w:rFonts w:hint="eastAsia" w:ascii="仿宋_GB2312" w:hAnsi="仿宋_GB2312" w:eastAsia="仿宋_GB2312"/>
          <w:b w:val="0"/>
          <w:sz w:val="32"/>
          <w:lang w:eastAsia="zh-CN"/>
        </w:rPr>
        <w:t>较上年增加</w:t>
      </w:r>
      <w:r>
        <w:rPr>
          <w:rFonts w:ascii="仿宋_GB2312" w:hAnsi="仿宋_GB2312" w:eastAsia="仿宋_GB2312"/>
          <w:b w:val="0"/>
          <w:sz w:val="32"/>
        </w:rPr>
        <w:t>，职业年金缴费支出增加。</w:t>
      </w:r>
    </w:p>
    <w:p w14:paraId="39F96458">
      <w:pPr>
        <w:spacing w:line="580" w:lineRule="exact"/>
        <w:ind w:firstLine="640"/>
        <w:jc w:val="both"/>
      </w:pPr>
      <w:r>
        <w:rPr>
          <w:rFonts w:ascii="仿宋_GB2312" w:hAnsi="仿宋_GB2312" w:eastAsia="仿宋_GB2312"/>
          <w:b w:val="0"/>
          <w:sz w:val="32"/>
        </w:rPr>
        <w:t>10.卫生健康支出(类)行政事业单位医疗(款)行政单位医疗(项):支出决算数为7.38万元，比上年决算减少1.05万元，下降12.46%,主要原因是：本年在职人员变动，人员职级不同，缴费基数不同，导致行政单位医疗缴费较上年减少。</w:t>
      </w:r>
    </w:p>
    <w:p w14:paraId="791BA51C">
      <w:pPr>
        <w:spacing w:line="580" w:lineRule="exact"/>
        <w:ind w:firstLine="640"/>
        <w:jc w:val="both"/>
      </w:pPr>
      <w:r>
        <w:rPr>
          <w:rFonts w:ascii="仿宋_GB2312" w:hAnsi="仿宋_GB2312" w:eastAsia="仿宋_GB2312"/>
          <w:b w:val="0"/>
          <w:sz w:val="32"/>
        </w:rPr>
        <w:t>11.卫生健康支出(类)行政事业单位医疗(款)事业单位医疗(项):支出决算数为2.78万元，比上年决算增加1.09万元，增长64.50%,主要原因是：本年在职人员工资基数调增，医疗缴费基数上涨，相应支出增加。</w:t>
      </w:r>
    </w:p>
    <w:p w14:paraId="03932027">
      <w:pPr>
        <w:spacing w:line="580" w:lineRule="exact"/>
        <w:ind w:firstLine="640"/>
        <w:jc w:val="both"/>
      </w:pPr>
      <w:r>
        <w:rPr>
          <w:rFonts w:ascii="仿宋_GB2312" w:hAnsi="仿宋_GB2312" w:eastAsia="仿宋_GB2312"/>
          <w:b w:val="0"/>
          <w:sz w:val="32"/>
        </w:rPr>
        <w:t>12.卫生健康支出(类)行政事业单位医疗(款)公务员医疗补助(项):支出决算数为3.16万元，比上年决算减少0.36万元，下降10.23%,主要原因是：本年在职人员变动，人员职级不同，缴费基数不同，导致公务员医疗补助较上年减少。</w:t>
      </w:r>
    </w:p>
    <w:p w14:paraId="3212F9BC">
      <w:pPr>
        <w:spacing w:line="580" w:lineRule="exact"/>
        <w:ind w:firstLine="640"/>
        <w:jc w:val="both"/>
      </w:pPr>
      <w:r>
        <w:rPr>
          <w:rFonts w:ascii="仿宋_GB2312" w:hAnsi="仿宋_GB2312" w:eastAsia="仿宋_GB2312"/>
          <w:b w:val="0"/>
          <w:sz w:val="32"/>
        </w:rPr>
        <w:t>13.卫生健康支出(类)行政事业单位医疗(款)其他行政事业单位医疗支出(项):支出决算数为0.36万元，比上年决算减少0.34万元，下降48.57%,主要原因是：因退休人员医疗保险制度改革，退休人员医疗不再由单位缴纳，导致经费较上年减少。</w:t>
      </w:r>
    </w:p>
    <w:p w14:paraId="18A321AA">
      <w:pPr>
        <w:spacing w:line="580" w:lineRule="exact"/>
        <w:ind w:firstLine="640"/>
        <w:jc w:val="both"/>
      </w:pPr>
      <w:r>
        <w:rPr>
          <w:rFonts w:ascii="仿宋_GB2312" w:hAnsi="仿宋_GB2312" w:eastAsia="仿宋_GB2312"/>
          <w:b w:val="0"/>
          <w:sz w:val="32"/>
        </w:rPr>
        <w:t>14.农林水支出(类)巩固脱贫攻坚成果衔接乡村振兴(款)生产发展(项):支出决算数为0.00万元，比上年决算减少7.86万元，下降100.00%,主要原因是：本年度未安排“</w:t>
      </w:r>
      <w:r>
        <w:rPr>
          <w:rFonts w:hint="eastAsia" w:ascii="仿宋_GB2312" w:hAnsi="仿宋_GB2312" w:eastAsia="仿宋_GB2312"/>
          <w:b w:val="0"/>
          <w:sz w:val="32"/>
          <w:lang w:eastAsia="zh-CN"/>
        </w:rPr>
        <w:t>饮用</w:t>
      </w:r>
      <w:r>
        <w:rPr>
          <w:rFonts w:ascii="仿宋_GB2312" w:hAnsi="仿宋_GB2312" w:eastAsia="仿宋_GB2312"/>
          <w:b w:val="0"/>
          <w:sz w:val="32"/>
        </w:rPr>
        <w:t>健康茶”、困难群众饮用低氟边销茶项目经费。</w:t>
      </w:r>
    </w:p>
    <w:p w14:paraId="1D1A6728">
      <w:pPr>
        <w:spacing w:line="580" w:lineRule="exact"/>
        <w:ind w:firstLine="640"/>
        <w:jc w:val="both"/>
      </w:pPr>
      <w:r>
        <w:rPr>
          <w:rFonts w:ascii="仿宋_GB2312" w:hAnsi="仿宋_GB2312" w:eastAsia="仿宋_GB2312"/>
          <w:b w:val="0"/>
          <w:sz w:val="32"/>
        </w:rPr>
        <w:t>15.商业服务业等支出(类)商业流通事务(款)民贸民品贷款贴息(项):支出决算数为0.00万元，比上年决算减少26.80万元，下降100.00%,主要原因是：本年度未安排民族贸易贴息贷款经费。</w:t>
      </w:r>
    </w:p>
    <w:p w14:paraId="602B347D">
      <w:pPr>
        <w:spacing w:line="580" w:lineRule="exact"/>
        <w:ind w:firstLine="640"/>
        <w:jc w:val="both"/>
      </w:pPr>
      <w:r>
        <w:rPr>
          <w:rFonts w:ascii="仿宋_GB2312" w:hAnsi="仿宋_GB2312" w:eastAsia="仿宋_GB2312"/>
          <w:b w:val="0"/>
          <w:sz w:val="32"/>
        </w:rPr>
        <w:t>16.住房保障支出(类)住房改革支出(款)住房公积金(项):支出决算数为18.89万元，比上年决算增加2.92万元，增长18.28%,主要原因是：本年在职人员增加，住房公积金支出较上年增加。</w:t>
      </w:r>
    </w:p>
    <w:p w14:paraId="6514C63F">
      <w:pPr>
        <w:spacing w:line="580" w:lineRule="exact"/>
        <w:ind w:firstLine="640"/>
        <w:jc w:val="both"/>
      </w:pPr>
      <w:r>
        <w:rPr>
          <w:rFonts w:ascii="仿宋_GB2312" w:hAnsi="仿宋_GB2312" w:eastAsia="仿宋_GB2312"/>
          <w:b w:val="0"/>
          <w:sz w:val="32"/>
        </w:rPr>
        <w:t>17.其他支出(类)其他支出(款)其他支出(项):支出决算数为0.00万元，比上年决算减少5.00万元，下降100.00%,主要原因是：本年度未安排为民办实事经费支出。</w:t>
      </w:r>
    </w:p>
    <w:p w14:paraId="3890E5B8">
      <w:pPr>
        <w:spacing w:line="640" w:lineRule="exact"/>
        <w:ind w:firstLine="640"/>
        <w:jc w:val="both"/>
        <w:outlineLvl w:val="2"/>
      </w:pPr>
      <w:r>
        <w:rPr>
          <w:rFonts w:ascii="黑体" w:hAnsi="黑体" w:eastAsia="黑体"/>
          <w:sz w:val="32"/>
        </w:rPr>
        <w:t>六、一般公共预算财政拨款基本支出决算情况说明</w:t>
      </w:r>
    </w:p>
    <w:p w14:paraId="3A26F4C9">
      <w:pPr>
        <w:spacing w:line="580" w:lineRule="exact"/>
        <w:ind w:firstLine="640"/>
        <w:jc w:val="both"/>
      </w:pPr>
      <w:r>
        <w:rPr>
          <w:rFonts w:ascii="仿宋_GB2312" w:hAnsi="仿宋_GB2312" w:eastAsia="仿宋_GB2312"/>
          <w:b w:val="0"/>
          <w:sz w:val="32"/>
        </w:rPr>
        <w:t>2024年度一般公共预算财政拨款基本支出350.40万元，其中：</w:t>
      </w:r>
      <w:r>
        <w:rPr>
          <w:rFonts w:ascii="仿宋_GB2312" w:hAnsi="仿宋_GB2312" w:eastAsia="仿宋_GB2312"/>
          <w:b/>
          <w:sz w:val="32"/>
        </w:rPr>
        <w:t>人员经费328.99万元，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包括：基本工资、津贴补贴、奖金、绩效工资、机关事业单位基本养老保险缴费、职业年金缴费、职工基本医疗保险缴费、公务员医疗补助缴费、其他社会保障缴费、住房公积金、退休费、生活补助、奖励金。</w:t>
      </w:r>
    </w:p>
    <w:p w14:paraId="55522E6E">
      <w:pPr>
        <w:spacing w:line="580" w:lineRule="exact"/>
        <w:ind w:firstLine="640"/>
        <w:jc w:val="both"/>
      </w:pPr>
      <w:r>
        <w:rPr>
          <w:rFonts w:ascii="仿宋_GB2312" w:hAnsi="仿宋_GB2312" w:eastAsia="仿宋_GB2312"/>
          <w:b/>
          <w:sz w:val="32"/>
        </w:rPr>
        <w:t>公用经费21.41万元，</w:t>
      </w:r>
      <w:r>
        <w:rPr>
          <w:rFonts w:ascii="仿宋_GB2312" w:hAnsi="仿宋_GB2312" w:eastAsia="仿宋_GB2312"/>
          <w:b w:val="0"/>
          <w:sz w:val="32"/>
        </w:rPr>
        <w:t>包括：办公费、水费、电费、邮电费、取暖费、差旅费、培训费、劳务费、工会经费、公务用车运行维护费、其他交通费用、其他商品和服务支出、办公设备购置。</w:t>
      </w:r>
    </w:p>
    <w:p w14:paraId="7959E680">
      <w:pPr>
        <w:spacing w:line="640" w:lineRule="exact"/>
        <w:ind w:firstLine="640"/>
        <w:jc w:val="both"/>
        <w:outlineLvl w:val="2"/>
      </w:pPr>
      <w:r>
        <w:rPr>
          <w:rFonts w:ascii="黑体" w:hAnsi="黑体" w:eastAsia="黑体"/>
          <w:sz w:val="32"/>
        </w:rPr>
        <w:t>七、政府性基金预算财政拨款收入支出决算情况说明</w:t>
      </w:r>
    </w:p>
    <w:p w14:paraId="2E7289C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B8ECE9A">
      <w:pPr>
        <w:spacing w:line="640" w:lineRule="exact"/>
        <w:ind w:firstLine="640"/>
        <w:jc w:val="both"/>
        <w:outlineLvl w:val="2"/>
      </w:pPr>
      <w:r>
        <w:rPr>
          <w:rFonts w:ascii="黑体" w:hAnsi="黑体" w:eastAsia="黑体"/>
          <w:sz w:val="32"/>
        </w:rPr>
        <w:t>八、国有资本经营预算财政拨款收入支出决算情况说明</w:t>
      </w:r>
    </w:p>
    <w:p w14:paraId="7038929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8588583">
      <w:pPr>
        <w:spacing w:line="640" w:lineRule="exact"/>
        <w:ind w:firstLine="640"/>
        <w:jc w:val="both"/>
        <w:outlineLvl w:val="2"/>
      </w:pPr>
      <w:r>
        <w:rPr>
          <w:rFonts w:ascii="黑体" w:hAnsi="黑体" w:eastAsia="黑体"/>
          <w:sz w:val="32"/>
        </w:rPr>
        <w:t>九、财政拨款“三公”经费支出决算情况说明</w:t>
      </w:r>
    </w:p>
    <w:p w14:paraId="31AC4AA3">
      <w:pPr>
        <w:spacing w:line="580" w:lineRule="exact"/>
        <w:ind w:firstLine="640"/>
        <w:jc w:val="both"/>
      </w:pPr>
      <w:r>
        <w:rPr>
          <w:rFonts w:ascii="仿宋_GB2312" w:hAnsi="仿宋_GB2312" w:eastAsia="仿宋_GB2312"/>
          <w:b/>
          <w:sz w:val="32"/>
        </w:rPr>
        <w:t>2024年度财政拨款“三公”经费支出0.79万元，</w:t>
      </w:r>
      <w:r>
        <w:rPr>
          <w:rFonts w:ascii="仿宋_GB2312" w:hAnsi="仿宋_GB2312" w:eastAsia="仿宋_GB2312"/>
          <w:b w:val="0"/>
          <w:sz w:val="32"/>
        </w:rPr>
        <w:t>比上年增加0.00万元，增长0.00%，主要原因是：本单位“三公”经费与上年一致无变化。其中：因公出国（境）费支出0.00万元，占0.00%，比上年增加0.00万元，增长0.00%，主要原因是：2023年与2024年均未安排因公出国（境）费支出。公务用车购置及运行维护费支出0.79万元，占100.00%，比上年增加0.00万元，增长0.00%，主要原因是：本单位公务用车运行维护费与上年一致无变化。公务接待费支出0.00万元，占0.00%，比上年增加0.00万元，增长0.00%，主要原因是：2023年与2024年均未安排公务接待费支出。</w:t>
      </w:r>
    </w:p>
    <w:p w14:paraId="5B50A0C1">
      <w:pPr>
        <w:spacing w:line="580" w:lineRule="exact"/>
        <w:ind w:firstLine="640"/>
        <w:jc w:val="both"/>
      </w:pPr>
      <w:r>
        <w:rPr>
          <w:rFonts w:ascii="仿宋_GB2312" w:hAnsi="仿宋_GB2312" w:eastAsia="仿宋_GB2312"/>
          <w:b/>
          <w:sz w:val="32"/>
        </w:rPr>
        <w:t>具体情况如下：</w:t>
      </w:r>
    </w:p>
    <w:p w14:paraId="5F45196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EE96293">
      <w:pPr>
        <w:spacing w:line="580" w:lineRule="exact"/>
        <w:ind w:firstLine="640"/>
        <w:jc w:val="both"/>
      </w:pPr>
      <w:r>
        <w:rPr>
          <w:rFonts w:ascii="仿宋_GB2312" w:hAnsi="仿宋_GB2312" w:eastAsia="仿宋_GB2312"/>
          <w:b w:val="0"/>
          <w:sz w:val="32"/>
        </w:rPr>
        <w:t>公务用车购置及运行维护费0.79万元，其中：公务用车购置费0.00万元，公务用车运行维护费0.79万元。公务用车运行维护费开支内容包括车辆燃油费、过路费及保险费。公务用车购置数0辆，公务用车保有量3辆。国有资产占用情况中固定资产车辆3辆，与公务用车保有量差异原因是：本单位固定资产车辆与公务用车保有量一致无差异。</w:t>
      </w:r>
    </w:p>
    <w:p w14:paraId="2B457836">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12501D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0.79万元，决算数0.79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0.79万元，决算数0.79万元，预决算差异率0.00%，主要原因是：严格按照预算执行，预决算无差异。公务接待费全年预算数0.00万元，决算数0.00万元，预决算差异率0.00%，主要原因是：本单位无公务接待费。</w:t>
      </w:r>
    </w:p>
    <w:p w14:paraId="774FD0DA">
      <w:pPr>
        <w:spacing w:line="640" w:lineRule="exact"/>
        <w:ind w:firstLine="640"/>
        <w:jc w:val="both"/>
        <w:outlineLvl w:val="2"/>
      </w:pPr>
      <w:r>
        <w:rPr>
          <w:rFonts w:ascii="黑体" w:hAnsi="黑体" w:eastAsia="黑体"/>
          <w:sz w:val="32"/>
        </w:rPr>
        <w:t>十、其他重要事项的情况说明</w:t>
      </w:r>
    </w:p>
    <w:p w14:paraId="4B0A1F90">
      <w:pPr>
        <w:spacing w:line="640" w:lineRule="exact"/>
        <w:ind w:firstLine="640"/>
        <w:jc w:val="both"/>
        <w:outlineLvl w:val="3"/>
      </w:pPr>
      <w:r>
        <w:rPr>
          <w:rFonts w:ascii="楷体_GB2312" w:hAnsi="楷体_GB2312" w:eastAsia="楷体_GB2312"/>
          <w:b/>
          <w:sz w:val="32"/>
        </w:rPr>
        <w:t>（一）机关运行经费及公用经费支出情况</w:t>
      </w:r>
    </w:p>
    <w:p w14:paraId="068744DA">
      <w:pPr>
        <w:spacing w:line="580" w:lineRule="exact"/>
        <w:ind w:firstLine="640"/>
        <w:jc w:val="both"/>
      </w:pPr>
      <w:r>
        <w:rPr>
          <w:rFonts w:ascii="仿宋_GB2312" w:hAnsi="仿宋_GB2312" w:eastAsia="仿宋_GB2312"/>
          <w:b w:val="0"/>
          <w:sz w:val="32"/>
        </w:rPr>
        <w:t>2024年度中共和硕县委员会统一战线工作部（行政单位和参照公务员法管理事业单位）机关运行经费支出21.41万元，比上年减少3.17万元，下降12.90%，主要原因是：本年度邮电费减少，故机关运行经费支出减少。</w:t>
      </w:r>
    </w:p>
    <w:p w14:paraId="2EDB7C57">
      <w:pPr>
        <w:spacing w:line="640" w:lineRule="exact"/>
        <w:ind w:firstLine="640"/>
        <w:jc w:val="both"/>
        <w:outlineLvl w:val="3"/>
      </w:pPr>
      <w:r>
        <w:rPr>
          <w:rFonts w:ascii="楷体_GB2312" w:hAnsi="楷体_GB2312" w:eastAsia="楷体_GB2312"/>
          <w:b/>
          <w:sz w:val="32"/>
        </w:rPr>
        <w:t>（二）政府采购情况</w:t>
      </w:r>
    </w:p>
    <w:p w14:paraId="2D6D180E">
      <w:pPr>
        <w:spacing w:line="580" w:lineRule="exact"/>
        <w:ind w:firstLine="640"/>
        <w:jc w:val="both"/>
      </w:pPr>
      <w:r>
        <w:rPr>
          <w:rFonts w:ascii="仿宋_GB2312" w:hAnsi="仿宋_GB2312" w:eastAsia="仿宋_GB2312"/>
          <w:b w:val="0"/>
          <w:sz w:val="32"/>
        </w:rPr>
        <w:t>2024年度政府采购支出总额1.83万元，其中：政府采购货物支出0.76万元、政府采购工程支出0.00万元、政府采购服务支出1.07万元。</w:t>
      </w:r>
    </w:p>
    <w:p w14:paraId="6F358ECA">
      <w:pPr>
        <w:spacing w:line="580" w:lineRule="exact"/>
        <w:ind w:firstLine="640"/>
        <w:jc w:val="both"/>
      </w:pPr>
      <w:r>
        <w:rPr>
          <w:rFonts w:ascii="仿宋_GB2312" w:hAnsi="仿宋_GB2312" w:eastAsia="仿宋_GB2312"/>
          <w:b w:val="0"/>
          <w:sz w:val="32"/>
        </w:rPr>
        <w:t>授予中小企业合同金额1.32万元，占政府采购支出总额的72.13%，其中：授予小微企业合同金额1.32万元，占政府采购支出总额的72.13%。</w:t>
      </w:r>
    </w:p>
    <w:p w14:paraId="6DB93D76">
      <w:pPr>
        <w:spacing w:line="640" w:lineRule="exact"/>
        <w:ind w:firstLine="640"/>
        <w:jc w:val="both"/>
        <w:outlineLvl w:val="3"/>
      </w:pPr>
      <w:r>
        <w:rPr>
          <w:rFonts w:ascii="楷体_GB2312" w:hAnsi="楷体_GB2312" w:eastAsia="楷体_GB2312"/>
          <w:b/>
          <w:sz w:val="32"/>
        </w:rPr>
        <w:t>（三）国有资产占用情况说明</w:t>
      </w:r>
    </w:p>
    <w:p w14:paraId="07C15E6D">
      <w:pPr>
        <w:spacing w:line="580" w:lineRule="exact"/>
        <w:ind w:firstLine="640"/>
        <w:jc w:val="both"/>
      </w:pPr>
      <w:r>
        <w:rPr>
          <w:rFonts w:ascii="仿宋_GB2312" w:hAnsi="仿宋_GB2312" w:eastAsia="仿宋_GB2312"/>
          <w:b w:val="0"/>
          <w:sz w:val="32"/>
        </w:rPr>
        <w:t>截至2024年12月31日，房屋0.00平方米，价值0.00万元。车辆3辆，价值27.17万元，其中：副部（省）级及以上领导用车0辆、主要负责人用车0辆、机要通信用车0辆、应急保障用车0辆、执法执勤用车0辆、特种专业技术用车0辆、离退休干部服务用车0辆、其他用车3辆，其他用车主要是：</w:t>
      </w:r>
      <w:r>
        <w:rPr>
          <w:rFonts w:hint="eastAsia" w:ascii="仿宋_GB2312" w:hAnsi="仿宋_GB2312" w:eastAsia="仿宋_GB2312"/>
          <w:b w:val="0"/>
          <w:sz w:val="32"/>
          <w:lang w:eastAsia="zh-CN"/>
        </w:rPr>
        <w:t>一般公务用车</w:t>
      </w:r>
      <w:r>
        <w:rPr>
          <w:rFonts w:ascii="仿宋_GB2312" w:hAnsi="仿宋_GB2312" w:eastAsia="仿宋_GB2312"/>
          <w:b w:val="0"/>
          <w:sz w:val="32"/>
        </w:rPr>
        <w:t>。单价100万元（含）以上设备（不含车辆）0台（套）。</w:t>
      </w:r>
    </w:p>
    <w:p w14:paraId="2329C4EC">
      <w:pPr>
        <w:spacing w:line="640" w:lineRule="exact"/>
        <w:ind w:firstLine="640"/>
        <w:jc w:val="both"/>
        <w:outlineLvl w:val="2"/>
      </w:pPr>
      <w:r>
        <w:rPr>
          <w:rFonts w:ascii="黑体" w:hAnsi="黑体" w:eastAsia="黑体"/>
          <w:sz w:val="32"/>
        </w:rPr>
        <w:t>十一、预算绩效的情况说明</w:t>
      </w:r>
    </w:p>
    <w:p w14:paraId="55BEC689">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362.91万元，实际执行总额362.91万元；预算绩效评价项目2个，全年预算数16.30万元，全年执行数15.99万元。预算绩效管理取得的成效：一是细化绩效管理，将绩效目标细化到每项资金，将管理责任分解到具体人，大大提高了绩效管理的可操作性；二是强化绩效意识，使“花钱必问效，无效必问责”的管理要求深入到每个干部心里。发现的问题及原因：一是由于绩效管理工作运行时间较短，在绩效目标编制上依然有欠缺，绩效目标设立不够明确、细化和量化，对绩效分析也不够透彻，社会效益和可持续影响三级指标把握得不准；二是根据绩效工作上报要求“谁使用、谁负责”的原则，资产使用人没有填报绩效，主管局负责填报，导致上报材料不精准，不确切。下一步改进措施：一是要按照“谁使用、谁负责”的原则，强化预算部门绩效管理的主体责任，将绩效目标、绩效监控、部门自评等绩效工具，作为提高资金使用效益的重要抓手，积极配合财政部门检查、督促、重点评价等方式加强监督管理；二是总结经验，加强资金使用管理，严格按照执行资金批准的使用计划和批复资料，认真执行资金管理和财务管理制度，严格执行国家有关财务规章制度规定的开支范围及开支标准，确保资金用到实处，发挥效益。具体附整体支出绩效自评表，项目支出绩效自评表和评价报告。</w:t>
      </w:r>
    </w:p>
    <w:p w14:paraId="5B141535">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4BB2D0E3">
        <w:tblPrEx>
          <w:tblCellMar>
            <w:top w:w="0" w:type="dxa"/>
            <w:left w:w="108" w:type="dxa"/>
            <w:bottom w:w="0" w:type="dxa"/>
            <w:right w:w="108" w:type="dxa"/>
          </w:tblCellMar>
        </w:tblPrEx>
        <w:tc>
          <w:tcPr>
            <w:tcW w:w="8840" w:type="dxa"/>
            <w:gridSpan w:val="8"/>
            <w:vAlign w:val="center"/>
          </w:tcPr>
          <w:p w14:paraId="1989165F">
            <w:pPr>
              <w:jc w:val="center"/>
            </w:pPr>
            <w:r>
              <w:rPr>
                <w:rFonts w:ascii="宋体" w:hAnsi="宋体" w:eastAsia="宋体"/>
                <w:sz w:val="24"/>
              </w:rPr>
              <w:t>单位整体支出绩效自评表</w:t>
            </w:r>
          </w:p>
        </w:tc>
      </w:tr>
      <w:tr w14:paraId="29A706C9">
        <w:tblPrEx>
          <w:tblCellMar>
            <w:top w:w="0" w:type="dxa"/>
            <w:left w:w="108" w:type="dxa"/>
            <w:bottom w:w="0" w:type="dxa"/>
            <w:right w:w="108" w:type="dxa"/>
          </w:tblCellMar>
        </w:tblPrEx>
        <w:tc>
          <w:tcPr>
            <w:tcW w:w="8840" w:type="dxa"/>
            <w:gridSpan w:val="8"/>
            <w:vAlign w:val="center"/>
          </w:tcPr>
          <w:p w14:paraId="09D306E7">
            <w:pPr>
              <w:jc w:val="center"/>
            </w:pPr>
            <w:r>
              <w:rPr>
                <w:rFonts w:ascii="宋体" w:hAnsi="宋体" w:eastAsia="宋体"/>
                <w:sz w:val="24"/>
              </w:rPr>
              <w:t>（2024年度）</w:t>
            </w:r>
          </w:p>
        </w:tc>
      </w:tr>
      <w:tr w14:paraId="69C2FDC1">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9B5809">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89023F">
            <w:pPr>
              <w:jc w:val="center"/>
            </w:pPr>
            <w:r>
              <w:rPr>
                <w:rFonts w:ascii="宋体" w:hAnsi="宋体" w:eastAsia="宋体"/>
                <w:sz w:val="16"/>
              </w:rPr>
              <w:t>中共和硕县委员会统一战线工作部</w:t>
            </w:r>
          </w:p>
        </w:tc>
      </w:tr>
      <w:tr w14:paraId="045CB54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75429B">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6B6E62">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14DA20">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E10885">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8A3C74">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62A580">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600D21">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5B10C7">
            <w:pPr>
              <w:jc w:val="center"/>
            </w:pPr>
            <w:r>
              <w:rPr>
                <w:rFonts w:ascii="宋体" w:hAnsi="宋体" w:eastAsia="宋体"/>
                <w:sz w:val="16"/>
              </w:rPr>
              <w:t>得分</w:t>
            </w:r>
          </w:p>
        </w:tc>
      </w:tr>
      <w:tr w14:paraId="5358426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9F949D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41176E">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096892">
            <w:pPr>
              <w:jc w:val="center"/>
            </w:pPr>
            <w:r>
              <w:rPr>
                <w:rFonts w:ascii="宋体" w:hAnsi="宋体" w:eastAsia="宋体"/>
                <w:sz w:val="16"/>
              </w:rPr>
              <w:t>364.36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1ACE08">
            <w:pPr>
              <w:jc w:val="center"/>
            </w:pPr>
            <w:r>
              <w:rPr>
                <w:rFonts w:ascii="宋体" w:hAnsi="宋体" w:eastAsia="宋体"/>
                <w:sz w:val="16"/>
              </w:rPr>
              <w:t>362.91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940FC5">
            <w:pPr>
              <w:jc w:val="center"/>
            </w:pPr>
            <w:r>
              <w:rPr>
                <w:rFonts w:ascii="宋体" w:hAnsi="宋体" w:eastAsia="宋体"/>
                <w:sz w:val="16"/>
              </w:rPr>
              <w:t>362.91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B92B87">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F9005E">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840096">
            <w:pPr>
              <w:jc w:val="center"/>
            </w:pPr>
            <w:r>
              <w:rPr>
                <w:rFonts w:ascii="宋体" w:hAnsi="宋体" w:eastAsia="宋体"/>
                <w:sz w:val="16"/>
              </w:rPr>
              <w:t>10</w:t>
            </w:r>
          </w:p>
        </w:tc>
      </w:tr>
      <w:tr w14:paraId="1B535A5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F90AAE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DC19F5">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AAED05">
            <w:pPr>
              <w:jc w:val="center"/>
            </w:pPr>
            <w:r>
              <w:rPr>
                <w:rFonts w:ascii="宋体" w:hAnsi="宋体" w:eastAsia="宋体"/>
                <w:sz w:val="16"/>
              </w:rPr>
              <w:t>43.33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FA4707">
            <w:pPr>
              <w:jc w:val="center"/>
            </w:pPr>
            <w:r>
              <w:rPr>
                <w:rFonts w:ascii="宋体" w:hAnsi="宋体" w:eastAsia="宋体"/>
                <w:sz w:val="16"/>
              </w:rPr>
              <w:t>43.33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AC0BC3">
            <w:pPr>
              <w:jc w:val="center"/>
            </w:pPr>
            <w:r>
              <w:rPr>
                <w:rFonts w:ascii="宋体" w:hAnsi="宋体" w:eastAsia="宋体"/>
                <w:sz w:val="16"/>
              </w:rPr>
              <w:t>43.33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C85B0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7732B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C0F713">
            <w:pPr>
              <w:jc w:val="center"/>
            </w:pPr>
            <w:r>
              <w:rPr>
                <w:rFonts w:ascii="宋体" w:hAnsi="宋体" w:eastAsia="宋体"/>
                <w:sz w:val="16"/>
              </w:rPr>
              <w:t>-</w:t>
            </w:r>
          </w:p>
        </w:tc>
      </w:tr>
      <w:tr w14:paraId="7C1D893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CF5C75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1AA3B8">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9BFE32">
            <w:pPr>
              <w:jc w:val="center"/>
            </w:pPr>
            <w:r>
              <w:rPr>
                <w:rFonts w:ascii="宋体" w:hAnsi="宋体" w:eastAsia="宋体"/>
                <w:sz w:val="16"/>
              </w:rPr>
              <w:t>321.03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75C23E">
            <w:pPr>
              <w:jc w:val="center"/>
            </w:pPr>
            <w:r>
              <w:rPr>
                <w:rFonts w:ascii="宋体" w:hAnsi="宋体" w:eastAsia="宋体"/>
                <w:sz w:val="16"/>
              </w:rPr>
              <w:t>319.58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1381E6">
            <w:pPr>
              <w:jc w:val="center"/>
            </w:pPr>
            <w:r>
              <w:rPr>
                <w:rFonts w:ascii="宋体" w:hAnsi="宋体" w:eastAsia="宋体"/>
                <w:sz w:val="16"/>
              </w:rPr>
              <w:t>319.58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C6F3B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8D52F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AA1020">
            <w:pPr>
              <w:jc w:val="center"/>
            </w:pPr>
            <w:r>
              <w:rPr>
                <w:rFonts w:ascii="宋体" w:hAnsi="宋体" w:eastAsia="宋体"/>
                <w:sz w:val="16"/>
              </w:rPr>
              <w:t>-</w:t>
            </w:r>
          </w:p>
        </w:tc>
      </w:tr>
      <w:tr w14:paraId="2AF36E6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99C6E3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4F7777">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B223C5">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3C3056">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02E4D5">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8686B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D290B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280659">
            <w:pPr>
              <w:jc w:val="center"/>
            </w:pPr>
            <w:r>
              <w:rPr>
                <w:rFonts w:ascii="宋体" w:hAnsi="宋体" w:eastAsia="宋体"/>
                <w:sz w:val="16"/>
              </w:rPr>
              <w:t>-</w:t>
            </w:r>
          </w:p>
        </w:tc>
      </w:tr>
      <w:tr w14:paraId="7A35BF5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1F328D">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BF3744E">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F97DB71">
            <w:pPr>
              <w:jc w:val="center"/>
            </w:pPr>
            <w:r>
              <w:rPr>
                <w:rFonts w:ascii="宋体" w:hAnsi="宋体" w:eastAsia="宋体"/>
                <w:sz w:val="16"/>
              </w:rPr>
              <w:t>实际完成情况</w:t>
            </w:r>
          </w:p>
        </w:tc>
      </w:tr>
      <w:tr w14:paraId="376378E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1C188A2"/>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CB98861">
            <w:pPr>
              <w:jc w:val="both"/>
            </w:pPr>
            <w:r>
              <w:rPr>
                <w:rFonts w:ascii="宋体" w:hAnsi="宋体" w:eastAsia="宋体"/>
                <w:sz w:val="16"/>
              </w:rPr>
              <w:t>深入学习贯彻习近平新时代中国特色社会主义思想，牢牢把握做好新时代新征程上统战工作的根本遵循，以铸牢中华民族共同体意识为主线，凝心聚力、主动担当作为，为建设美丽新疆、美丽巴州贡献统战力量。强化思想政治引领，进一步夯实团结奋斗的共同思想政治基础。有形有感有效铸牢中华民族共同体意识，持续增强各族群众“五个认同”。坚持我国</w:t>
            </w:r>
            <w:r>
              <w:rPr>
                <w:rFonts w:hint="eastAsia" w:ascii="宋体" w:hAnsi="宋体"/>
                <w:sz w:val="16"/>
                <w:lang w:val="en-US" w:eastAsia="zh-CN"/>
              </w:rPr>
              <w:t>ZJ</w:t>
            </w:r>
            <w:r>
              <w:rPr>
                <w:rFonts w:ascii="宋体" w:hAnsi="宋体" w:eastAsia="宋体"/>
                <w:sz w:val="16"/>
              </w:rPr>
              <w:t>中国化方向，深入推进新疆伊斯兰教中国化。坚持大团结大联合，巩固最广泛的爱国统一战线。防范化解风险隐患，切实维护社会和谐稳定。不断巩固拓展大统战工作格局，为全面建设社会主义现代化巴州凝聚人心和力量。</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9221E8">
            <w:pPr>
              <w:jc w:val="both"/>
            </w:pPr>
            <w:r>
              <w:rPr>
                <w:rFonts w:ascii="宋体" w:hAnsi="宋体" w:eastAsia="宋体"/>
                <w:sz w:val="16"/>
              </w:rPr>
              <w:t>我</w:t>
            </w:r>
            <w:r>
              <w:rPr>
                <w:rFonts w:hint="eastAsia" w:ascii="宋体" w:hAnsi="宋体"/>
                <w:sz w:val="16"/>
                <w:lang w:val="en-US" w:eastAsia="zh-CN"/>
              </w:rPr>
              <w:t>单位</w:t>
            </w:r>
            <w:r>
              <w:rPr>
                <w:rFonts w:ascii="宋体" w:hAnsi="宋体" w:eastAsia="宋体"/>
                <w:sz w:val="16"/>
              </w:rPr>
              <w:t>按照年初工作计划对统战对象民主党派、无党派人士及各民族</w:t>
            </w:r>
            <w:r>
              <w:rPr>
                <w:rFonts w:hint="eastAsia" w:ascii="宋体" w:hAnsi="宋体"/>
                <w:sz w:val="16"/>
                <w:lang w:val="en-US" w:eastAsia="zh-CN"/>
              </w:rPr>
              <w:t>ZJ</w:t>
            </w:r>
            <w:r>
              <w:rPr>
                <w:rFonts w:ascii="宋体" w:hAnsi="宋体" w:eastAsia="宋体"/>
                <w:sz w:val="16"/>
              </w:rPr>
              <w:t>人按季度座谈工作，凝心聚力推动新时代统战、民族</w:t>
            </w:r>
            <w:r>
              <w:rPr>
                <w:rFonts w:hint="eastAsia" w:ascii="宋体" w:hAnsi="宋体"/>
                <w:sz w:val="16"/>
                <w:lang w:val="en-US" w:eastAsia="zh-CN"/>
              </w:rPr>
              <w:t>ZJ</w:t>
            </w:r>
            <w:r>
              <w:rPr>
                <w:rFonts w:ascii="宋体" w:hAnsi="宋体" w:eastAsia="宋体"/>
                <w:sz w:val="16"/>
              </w:rPr>
              <w:t>工作高质量发展，全年开展组织统战对象座谈会5次，开展铸牢中华民族共同体意识学习及体验展示9次。通过有形有感有效</w:t>
            </w:r>
            <w:r>
              <w:rPr>
                <w:rFonts w:hint="eastAsia" w:ascii="宋体" w:hAnsi="宋体"/>
                <w:sz w:val="16"/>
                <w:lang w:eastAsia="zh-CN"/>
              </w:rPr>
              <w:t>地</w:t>
            </w:r>
            <w:r>
              <w:rPr>
                <w:rFonts w:ascii="宋体" w:hAnsi="宋体" w:eastAsia="宋体"/>
                <w:sz w:val="16"/>
              </w:rPr>
              <w:t>开展铸牢中华民族共同体意识活动，达到了全县各族群众干部受到教育、为人民服务意识明显增强，各族群众切身感受到党和政府的关怀和温暖。</w:t>
            </w:r>
          </w:p>
        </w:tc>
      </w:tr>
      <w:tr w14:paraId="6D5A77B3">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D2A198">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BE616F">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CB3FBD">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51AA96">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7D775A">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A94804">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891F68">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6C6BF3">
            <w:pPr>
              <w:jc w:val="center"/>
            </w:pPr>
            <w:r>
              <w:rPr>
                <w:rFonts w:ascii="宋体" w:hAnsi="宋体" w:eastAsia="宋体"/>
                <w:sz w:val="16"/>
              </w:rPr>
              <w:t>得分</w:t>
            </w:r>
          </w:p>
        </w:tc>
      </w:tr>
      <w:tr w14:paraId="3A9F95E8">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9109D4">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7443EE">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0E7377">
            <w:pPr>
              <w:jc w:val="center"/>
            </w:pPr>
            <w:r>
              <w:rPr>
                <w:rFonts w:ascii="宋体" w:hAnsi="宋体" w:eastAsia="宋体"/>
                <w:sz w:val="16"/>
              </w:rPr>
              <w:t>开展统战对象座谈会或宣讲活动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B5AAC7">
            <w:pPr>
              <w:jc w:val="center"/>
            </w:pPr>
            <w:r>
              <w:rPr>
                <w:rFonts w:ascii="宋体" w:hAnsi="宋体" w:eastAsia="宋体"/>
                <w:sz w:val="16"/>
              </w:rPr>
              <w:t>&gt;=5次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FABF53">
            <w:pPr>
              <w:jc w:val="center"/>
            </w:pPr>
            <w:r>
              <w:rPr>
                <w:rFonts w:ascii="宋体" w:hAnsi="宋体" w:eastAsia="宋体"/>
                <w:sz w:val="16"/>
              </w:rPr>
              <w:t>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70D6B9">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E44ED6">
            <w:pPr>
              <w:jc w:val="center"/>
            </w:pPr>
            <w:r>
              <w:rPr>
                <w:rFonts w:ascii="宋体" w:hAnsi="宋体" w:eastAsia="宋体"/>
                <w:sz w:val="16"/>
              </w:rPr>
              <w:t>5次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9BA297">
            <w:pPr>
              <w:jc w:val="center"/>
            </w:pPr>
            <w:r>
              <w:rPr>
                <w:rFonts w:ascii="宋体" w:hAnsi="宋体" w:eastAsia="宋体"/>
                <w:sz w:val="16"/>
              </w:rPr>
              <w:t>30</w:t>
            </w:r>
          </w:p>
        </w:tc>
      </w:tr>
      <w:tr w14:paraId="2D577B4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EA1DEE9"/>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694B08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270F2E">
            <w:pPr>
              <w:jc w:val="center"/>
            </w:pPr>
            <w:r>
              <w:rPr>
                <w:rFonts w:ascii="宋体" w:hAnsi="宋体" w:eastAsia="宋体"/>
                <w:sz w:val="16"/>
              </w:rPr>
              <w:t>组织实施创建全国民族团结进步示范县</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AAB979">
            <w:pPr>
              <w:jc w:val="center"/>
            </w:pPr>
            <w:r>
              <w:rPr>
                <w:rFonts w:ascii="宋体" w:hAnsi="宋体" w:eastAsia="宋体"/>
                <w:sz w:val="16"/>
              </w:rPr>
              <w:t>=1个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EBE048">
            <w:pPr>
              <w:jc w:val="center"/>
            </w:pPr>
            <w:r>
              <w:rPr>
                <w:rFonts w:ascii="宋体" w:hAnsi="宋体" w:eastAsia="宋体"/>
                <w:sz w:val="16"/>
              </w:rPr>
              <w:t>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7067A7">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2F172D">
            <w:pPr>
              <w:jc w:val="center"/>
            </w:pPr>
            <w:r>
              <w:rPr>
                <w:rFonts w:ascii="宋体" w:hAnsi="宋体" w:eastAsia="宋体"/>
                <w:sz w:val="16"/>
              </w:rPr>
              <w:t>0个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31E75E">
            <w:pPr>
              <w:jc w:val="center"/>
            </w:pPr>
            <w:r>
              <w:rPr>
                <w:rFonts w:ascii="宋体" w:hAnsi="宋体" w:eastAsia="宋体"/>
                <w:sz w:val="16"/>
              </w:rPr>
              <w:t>0</w:t>
            </w:r>
          </w:p>
        </w:tc>
      </w:tr>
      <w:tr w14:paraId="296C7D3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FE83FA5"/>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144C65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587A39">
            <w:pPr>
              <w:jc w:val="center"/>
            </w:pPr>
            <w:r>
              <w:rPr>
                <w:rFonts w:ascii="宋体" w:hAnsi="宋体" w:eastAsia="宋体"/>
                <w:sz w:val="16"/>
              </w:rPr>
              <w:t>铸牢中华民族共同体</w:t>
            </w:r>
            <w:r>
              <w:rPr>
                <w:rFonts w:hint="eastAsia" w:ascii="宋体" w:hAnsi="宋体"/>
                <w:sz w:val="16"/>
                <w:lang w:eastAsia="zh-CN"/>
              </w:rPr>
              <w:t>意识</w:t>
            </w:r>
            <w:r>
              <w:rPr>
                <w:rFonts w:ascii="宋体" w:hAnsi="宋体" w:eastAsia="宋体"/>
                <w:sz w:val="16"/>
              </w:rPr>
              <w:t>学习次数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7EFF1D">
            <w:pPr>
              <w:jc w:val="center"/>
            </w:pPr>
            <w:r>
              <w:rPr>
                <w:rFonts w:ascii="宋体" w:hAnsi="宋体" w:eastAsia="宋体"/>
                <w:sz w:val="16"/>
              </w:rPr>
              <w:t>&gt;=9次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62764B">
            <w:pPr>
              <w:jc w:val="center"/>
            </w:pPr>
            <w:r>
              <w:rPr>
                <w:rFonts w:ascii="宋体" w:hAnsi="宋体" w:eastAsia="宋体"/>
                <w:sz w:val="16"/>
              </w:rPr>
              <w:t>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1747D4">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C441B2">
            <w:pPr>
              <w:jc w:val="center"/>
            </w:pPr>
            <w:r>
              <w:rPr>
                <w:rFonts w:ascii="宋体" w:hAnsi="宋体" w:eastAsia="宋体"/>
                <w:sz w:val="16"/>
              </w:rPr>
              <w:t>9次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0BDA39">
            <w:pPr>
              <w:jc w:val="center"/>
            </w:pPr>
            <w:r>
              <w:rPr>
                <w:rFonts w:ascii="宋体" w:hAnsi="宋体" w:eastAsia="宋体"/>
                <w:sz w:val="16"/>
              </w:rPr>
              <w:t>30</w:t>
            </w:r>
          </w:p>
        </w:tc>
      </w:tr>
    </w:tbl>
    <w:p w14:paraId="217D8A64">
      <w:r>
        <w:br w:type="page"/>
      </w:r>
    </w:p>
    <w:tbl>
      <w:tblPr>
        <w:tblStyle w:val="9"/>
        <w:tblW w:w="0" w:type="auto"/>
        <w:tblInd w:w="0" w:type="dxa"/>
        <w:tblLayout w:type="autofit"/>
        <w:tblCellMar>
          <w:top w:w="0" w:type="dxa"/>
          <w:left w:w="108" w:type="dxa"/>
          <w:bottom w:w="0" w:type="dxa"/>
          <w:right w:w="108" w:type="dxa"/>
        </w:tblCellMar>
      </w:tblPr>
      <w:tblGrid>
        <w:gridCol w:w="625"/>
        <w:gridCol w:w="616"/>
        <w:gridCol w:w="617"/>
        <w:gridCol w:w="617"/>
        <w:gridCol w:w="776"/>
        <w:gridCol w:w="617"/>
        <w:gridCol w:w="617"/>
        <w:gridCol w:w="622"/>
        <w:gridCol w:w="617"/>
        <w:gridCol w:w="617"/>
        <w:gridCol w:w="696"/>
        <w:gridCol w:w="696"/>
        <w:gridCol w:w="631"/>
        <w:gridCol w:w="696"/>
      </w:tblGrid>
      <w:tr w14:paraId="0A8A64FB">
        <w:tblPrEx>
          <w:tblCellMar>
            <w:top w:w="0" w:type="dxa"/>
            <w:left w:w="108" w:type="dxa"/>
            <w:bottom w:w="0" w:type="dxa"/>
            <w:right w:w="108" w:type="dxa"/>
          </w:tblCellMar>
        </w:tblPrEx>
        <w:tc>
          <w:tcPr>
            <w:tcW w:w="8848" w:type="dxa"/>
            <w:gridSpan w:val="14"/>
            <w:vAlign w:val="center"/>
          </w:tcPr>
          <w:p w14:paraId="40E943BB">
            <w:pPr>
              <w:jc w:val="center"/>
            </w:pPr>
            <w:r>
              <w:rPr>
                <w:rFonts w:ascii="宋体" w:hAnsi="宋体" w:eastAsia="宋体"/>
                <w:sz w:val="24"/>
              </w:rPr>
              <w:t>项目支出绩效自评表</w:t>
            </w:r>
          </w:p>
        </w:tc>
      </w:tr>
      <w:tr w14:paraId="5B987113">
        <w:tblPrEx>
          <w:tblCellMar>
            <w:top w:w="0" w:type="dxa"/>
            <w:left w:w="108" w:type="dxa"/>
            <w:bottom w:w="0" w:type="dxa"/>
            <w:right w:w="108" w:type="dxa"/>
          </w:tblCellMar>
        </w:tblPrEx>
        <w:tc>
          <w:tcPr>
            <w:tcW w:w="8848" w:type="dxa"/>
            <w:gridSpan w:val="14"/>
            <w:vAlign w:val="center"/>
          </w:tcPr>
          <w:p w14:paraId="6F1932BA">
            <w:pPr>
              <w:jc w:val="center"/>
            </w:pPr>
            <w:r>
              <w:rPr>
                <w:rFonts w:ascii="宋体" w:hAnsi="宋体" w:eastAsia="宋体"/>
                <w:sz w:val="24"/>
              </w:rPr>
              <w:t>(2024年度)</w:t>
            </w:r>
          </w:p>
        </w:tc>
      </w:tr>
      <w:tr w14:paraId="7CFB87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7994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AA212F0">
            <w:pPr>
              <w:jc w:val="center"/>
            </w:pPr>
            <w:r>
              <w:rPr>
                <w:rFonts w:ascii="宋体" w:hAnsi="宋体" w:eastAsia="宋体"/>
                <w:sz w:val="16"/>
              </w:rPr>
              <w:t>县委统战部及工商联办公、民族团结创建宣传教育</w:t>
            </w:r>
          </w:p>
        </w:tc>
      </w:tr>
      <w:tr w14:paraId="799854B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E84A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E65499">
            <w:pPr>
              <w:jc w:val="center"/>
            </w:pPr>
            <w:r>
              <w:rPr>
                <w:rFonts w:ascii="宋体" w:hAnsi="宋体" w:eastAsia="宋体"/>
                <w:sz w:val="16"/>
              </w:rPr>
              <w:t>中共和硕县委员会统一战线工作部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B79D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6CDCDA">
            <w:pPr>
              <w:jc w:val="center"/>
            </w:pPr>
            <w:r>
              <w:rPr>
                <w:rFonts w:ascii="宋体" w:hAnsi="宋体" w:eastAsia="宋体"/>
                <w:sz w:val="16"/>
              </w:rPr>
              <w:t>中共和硕县委员会统一战线工作部</w:t>
            </w:r>
          </w:p>
        </w:tc>
      </w:tr>
      <w:tr w14:paraId="032042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CFE3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E4582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6480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DC57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9D67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5212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CE6E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E9CE1">
            <w:pPr>
              <w:jc w:val="center"/>
            </w:pPr>
            <w:r>
              <w:rPr>
                <w:rFonts w:ascii="宋体" w:hAnsi="宋体" w:eastAsia="宋体"/>
                <w:sz w:val="16"/>
              </w:rPr>
              <w:t>得分</w:t>
            </w:r>
          </w:p>
        </w:tc>
      </w:tr>
      <w:tr w14:paraId="544DAE3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84B50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B8FD1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48C58">
            <w:pPr>
              <w:jc w:val="center"/>
            </w:pPr>
            <w:r>
              <w:rPr>
                <w:rFonts w:ascii="宋体" w:hAnsi="宋体" w:eastAsia="宋体"/>
                <w:sz w:val="16"/>
              </w:rPr>
              <w:t>7.30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C3EC3">
            <w:pPr>
              <w:jc w:val="center"/>
            </w:pPr>
            <w:r>
              <w:rPr>
                <w:rFonts w:ascii="宋体" w:hAnsi="宋体" w:eastAsia="宋体"/>
                <w:sz w:val="16"/>
              </w:rPr>
              <w:t>7.30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93E303">
            <w:pPr>
              <w:jc w:val="center"/>
            </w:pPr>
            <w:r>
              <w:rPr>
                <w:rFonts w:ascii="宋体" w:hAnsi="宋体" w:eastAsia="宋体"/>
                <w:sz w:val="16"/>
              </w:rPr>
              <w:t>7.29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00AC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8DCE6">
            <w:pPr>
              <w:jc w:val="center"/>
            </w:pPr>
            <w:r>
              <w:rPr>
                <w:rFonts w:ascii="宋体" w:hAnsi="宋体" w:eastAsia="宋体"/>
                <w:sz w:val="16"/>
              </w:rPr>
              <w:t>99.86%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A1EC4">
            <w:pPr>
              <w:jc w:val="center"/>
            </w:pPr>
            <w:r>
              <w:rPr>
                <w:rFonts w:ascii="宋体" w:hAnsi="宋体" w:eastAsia="宋体"/>
                <w:sz w:val="16"/>
              </w:rPr>
              <w:t>9.96</w:t>
            </w:r>
          </w:p>
        </w:tc>
      </w:tr>
      <w:tr w14:paraId="77E3F5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37DA2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FC347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3CF4F">
            <w:pPr>
              <w:jc w:val="center"/>
            </w:pPr>
            <w:r>
              <w:rPr>
                <w:rFonts w:ascii="宋体" w:hAnsi="宋体" w:eastAsia="宋体"/>
                <w:sz w:val="16"/>
              </w:rPr>
              <w:t>7.30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5E0F8">
            <w:pPr>
              <w:jc w:val="center"/>
            </w:pPr>
            <w:r>
              <w:rPr>
                <w:rFonts w:ascii="宋体" w:hAnsi="宋体" w:eastAsia="宋体"/>
                <w:sz w:val="16"/>
              </w:rPr>
              <w:t>7.30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2A151">
            <w:pPr>
              <w:jc w:val="center"/>
            </w:pPr>
            <w:r>
              <w:rPr>
                <w:rFonts w:ascii="宋体" w:hAnsi="宋体" w:eastAsia="宋体"/>
                <w:sz w:val="16"/>
              </w:rPr>
              <w:t>7.29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CBC7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F04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D051B">
            <w:pPr>
              <w:jc w:val="center"/>
            </w:pPr>
            <w:r>
              <w:rPr>
                <w:rFonts w:ascii="宋体" w:hAnsi="宋体" w:eastAsia="宋体"/>
                <w:sz w:val="16"/>
              </w:rPr>
              <w:t>-</w:t>
            </w:r>
          </w:p>
        </w:tc>
      </w:tr>
      <w:tr w14:paraId="1014F0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F011E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8F04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A13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7E8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34D7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BA09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6CA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2CED4">
            <w:pPr>
              <w:jc w:val="center"/>
            </w:pPr>
            <w:r>
              <w:rPr>
                <w:rFonts w:ascii="宋体" w:hAnsi="宋体" w:eastAsia="宋体"/>
                <w:sz w:val="16"/>
              </w:rPr>
              <w:t>-</w:t>
            </w:r>
          </w:p>
        </w:tc>
      </w:tr>
      <w:tr w14:paraId="695DFB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6823C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F4E47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4A6FF4">
            <w:pPr>
              <w:jc w:val="center"/>
            </w:pPr>
            <w:r>
              <w:rPr>
                <w:rFonts w:ascii="宋体" w:hAnsi="宋体" w:eastAsia="宋体"/>
                <w:sz w:val="16"/>
              </w:rPr>
              <w:t>总体目标完成情况</w:t>
            </w:r>
          </w:p>
        </w:tc>
      </w:tr>
      <w:tr w14:paraId="7579BE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46FEC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5FDFFB">
            <w:pPr>
              <w:jc w:val="both"/>
            </w:pPr>
            <w:r>
              <w:rPr>
                <w:rFonts w:ascii="宋体" w:hAnsi="宋体" w:eastAsia="宋体"/>
                <w:sz w:val="16"/>
              </w:rPr>
              <w:t>通过采购办公耗材3批次、制作宣传牌26块以铸牢中华民族共同体意识为主线，以中华民族一家亲。同心共筑中国梦为总目标，推动全县的民族团结进步示范县的创建。</w:t>
            </w:r>
            <w:r>
              <w:rPr>
                <w:rFonts w:ascii="宋体" w:hAnsi="宋体" w:eastAsia="宋体"/>
                <w:sz w:val="16"/>
              </w:rPr>
              <w:br w:type="textWrapping"/>
            </w:r>
            <w:r>
              <w:rPr>
                <w:rFonts w:ascii="宋体" w:hAnsi="宋体" w:eastAsia="宋体"/>
                <w:sz w:val="16"/>
              </w:rPr>
              <w:t>此项工作经费的合理支出，从而达到了提升1名志愿者单位人员工作积极性、提高办公人员工作效率、保障办公室各项工作有序进行。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ECBD22">
            <w:pPr>
              <w:jc w:val="both"/>
            </w:pPr>
            <w:r>
              <w:rPr>
                <w:rFonts w:ascii="宋体" w:hAnsi="宋体" w:eastAsia="宋体"/>
                <w:sz w:val="16"/>
              </w:rPr>
              <w:t>各项经费使用合理合规，且均按照预算全额执行，有力保障了各项工作任务顺利推进。工商联经费有效维持了工商联日常办公的有序运转；通过举办一系列丰富多彩、形式多样的民族团结创建及国通语比赛，激发了</w:t>
            </w:r>
            <w:r>
              <w:rPr>
                <w:rFonts w:hint="eastAsia" w:ascii="宋体" w:hAnsi="宋体"/>
                <w:sz w:val="16"/>
                <w:lang w:eastAsia="zh-CN"/>
              </w:rPr>
              <w:t>广大群众</w:t>
            </w:r>
            <w:r>
              <w:rPr>
                <w:rFonts w:ascii="宋体" w:hAnsi="宋体" w:eastAsia="宋体"/>
                <w:sz w:val="16"/>
              </w:rPr>
              <w:t>学习国家通用语言文字的热情，提升了少数民族群众语言应用能力，促进了国家通用语言文字的普及推广，为各民族之间沟通交流搭建了更为顺畅的桥梁，在提高民族凝聚力与向心力方面成效显著。</w:t>
            </w:r>
          </w:p>
        </w:tc>
      </w:tr>
      <w:tr w14:paraId="0613E7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D5353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7531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8D08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9CAF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E31B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E9F2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FB52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9CD5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1342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AE25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5954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B344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413E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56798">
            <w:pPr>
              <w:jc w:val="center"/>
            </w:pPr>
            <w:r>
              <w:rPr>
                <w:rFonts w:ascii="宋体" w:hAnsi="宋体" w:eastAsia="宋体"/>
                <w:sz w:val="16"/>
              </w:rPr>
              <w:t>偏差原因分析及改进措施</w:t>
            </w:r>
          </w:p>
        </w:tc>
      </w:tr>
      <w:tr w14:paraId="4C05E9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831E0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5BC78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04930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DF8B4">
            <w:pPr>
              <w:jc w:val="center"/>
            </w:pPr>
            <w:r>
              <w:rPr>
                <w:rFonts w:ascii="宋体" w:hAnsi="宋体" w:eastAsia="宋体"/>
                <w:sz w:val="16"/>
              </w:rPr>
              <w:t>采购办公耗材批次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28A9A">
            <w:pPr>
              <w:jc w:val="center"/>
            </w:pPr>
            <w:r>
              <w:rPr>
                <w:rFonts w:ascii="宋体" w:hAnsi="宋体" w:eastAsia="宋体"/>
                <w:sz w:val="16"/>
              </w:rPr>
              <w:t>&gt;=3批次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923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911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3B61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B14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884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14C1C">
            <w:pPr>
              <w:jc w:val="center"/>
            </w:pPr>
            <w:r>
              <w:rPr>
                <w:rFonts w:ascii="宋体" w:hAnsi="宋体" w:eastAsia="宋体"/>
                <w:sz w:val="16"/>
              </w:rPr>
              <w:t>=3批次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A4B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324B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11071">
            <w:pPr>
              <w:jc w:val="center"/>
            </w:pPr>
          </w:p>
        </w:tc>
      </w:tr>
      <w:tr w14:paraId="3B3195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1D32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ADD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D89F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6A0F6">
            <w:pPr>
              <w:jc w:val="center"/>
            </w:pPr>
            <w:r>
              <w:rPr>
                <w:rFonts w:ascii="宋体" w:hAnsi="宋体" w:eastAsia="宋体"/>
                <w:sz w:val="16"/>
              </w:rPr>
              <w:t>支付邮电费次数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6F375">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B59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E7D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C225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7FD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DF5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C3AEC">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5E9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8E27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1C2F3">
            <w:pPr>
              <w:jc w:val="center"/>
            </w:pPr>
          </w:p>
        </w:tc>
      </w:tr>
      <w:tr w14:paraId="13B623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B478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44AA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CBA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85C05">
            <w:pPr>
              <w:jc w:val="center"/>
            </w:pPr>
            <w:r>
              <w:rPr>
                <w:rFonts w:ascii="宋体" w:hAnsi="宋体" w:eastAsia="宋体"/>
                <w:sz w:val="16"/>
              </w:rPr>
              <w:t>志愿者生活补助人数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4B61B">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335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19E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DB60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FDB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116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68025">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AA1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EC3F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790A6">
            <w:pPr>
              <w:jc w:val="center"/>
            </w:pPr>
          </w:p>
        </w:tc>
      </w:tr>
      <w:tr w14:paraId="053856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02D9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6E1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5C85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4BE2A">
            <w:pPr>
              <w:jc w:val="center"/>
            </w:pPr>
            <w:r>
              <w:rPr>
                <w:rFonts w:ascii="宋体" w:hAnsi="宋体" w:eastAsia="宋体"/>
                <w:sz w:val="16"/>
              </w:rPr>
              <w:t>采购宣传牌块数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FE75E">
            <w:pPr>
              <w:jc w:val="center"/>
            </w:pPr>
            <w:r>
              <w:rPr>
                <w:rFonts w:ascii="宋体" w:hAnsi="宋体" w:eastAsia="宋体"/>
                <w:sz w:val="16"/>
              </w:rPr>
              <w:t>&gt;=26块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9BF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71B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C8CD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4D0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77E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04ECE">
            <w:pPr>
              <w:jc w:val="center"/>
            </w:pPr>
            <w:r>
              <w:rPr>
                <w:rFonts w:ascii="宋体" w:hAnsi="宋体" w:eastAsia="宋体"/>
                <w:sz w:val="16"/>
              </w:rPr>
              <w:t>=26块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A82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569D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9DA55">
            <w:pPr>
              <w:jc w:val="center"/>
            </w:pPr>
          </w:p>
        </w:tc>
      </w:tr>
      <w:tr w14:paraId="510B27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C934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39C3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61C4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FA078">
            <w:pPr>
              <w:jc w:val="center"/>
            </w:pPr>
            <w:r>
              <w:rPr>
                <w:rFonts w:ascii="宋体" w:hAnsi="宋体" w:eastAsia="宋体"/>
                <w:sz w:val="16"/>
              </w:rPr>
              <w:t>国通语比赛活动开展次数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755D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9DE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4A6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8F6C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D2C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76D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9D6A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B49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3625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93D05">
            <w:pPr>
              <w:jc w:val="center"/>
            </w:pPr>
          </w:p>
        </w:tc>
      </w:tr>
      <w:tr w14:paraId="4D68A5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1AE8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2C2D2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637C9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0BFFC">
            <w:pPr>
              <w:jc w:val="center"/>
            </w:pPr>
            <w:r>
              <w:rPr>
                <w:rFonts w:ascii="宋体" w:hAnsi="宋体" w:eastAsia="宋体"/>
                <w:sz w:val="16"/>
              </w:rPr>
              <w:t>采购办公用品质量合格率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F5C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A7A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2FD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BB0D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8BD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CB5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A80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EF6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1B6F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C096B">
            <w:pPr>
              <w:jc w:val="center"/>
            </w:pPr>
          </w:p>
        </w:tc>
      </w:tr>
      <w:tr w14:paraId="06A8DA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96B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2D2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03DE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BAEFD">
            <w:pPr>
              <w:jc w:val="center"/>
            </w:pPr>
            <w:r>
              <w:rPr>
                <w:rFonts w:ascii="宋体" w:hAnsi="宋体" w:eastAsia="宋体"/>
                <w:sz w:val="16"/>
              </w:rPr>
              <w:t>电话网络通讯顺畅率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C6A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7D7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94C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E1ED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D57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BFE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4DC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082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0604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251EE">
            <w:pPr>
              <w:jc w:val="center"/>
            </w:pPr>
          </w:p>
        </w:tc>
      </w:tr>
      <w:tr w14:paraId="61BB58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E719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23C7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DF40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C75BF">
            <w:pPr>
              <w:jc w:val="center"/>
            </w:pPr>
            <w:r>
              <w:rPr>
                <w:rFonts w:ascii="宋体" w:hAnsi="宋体" w:eastAsia="宋体"/>
                <w:sz w:val="16"/>
              </w:rPr>
              <w:t>志愿者服务优秀率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C65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FE3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FBE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A752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C71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BD0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BC9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E0D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5CD2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C94F7">
            <w:pPr>
              <w:jc w:val="center"/>
            </w:pPr>
          </w:p>
        </w:tc>
      </w:tr>
      <w:tr w14:paraId="717CF2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AF82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066D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D95D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C5D37">
            <w:pPr>
              <w:jc w:val="center"/>
            </w:pPr>
            <w:r>
              <w:rPr>
                <w:rFonts w:ascii="宋体" w:hAnsi="宋体" w:eastAsia="宋体"/>
                <w:sz w:val="16"/>
              </w:rPr>
              <w:t>国通语比赛及时率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55C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B7B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2D0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6EC8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E31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566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C8F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D8A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3358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F8FC8">
            <w:pPr>
              <w:jc w:val="center"/>
            </w:pPr>
          </w:p>
        </w:tc>
      </w:tr>
      <w:tr w14:paraId="0E0901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B203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1C972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0D2F2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F3D51">
            <w:pPr>
              <w:jc w:val="center"/>
            </w:pPr>
            <w:r>
              <w:rPr>
                <w:rFonts w:ascii="宋体" w:hAnsi="宋体" w:eastAsia="宋体"/>
                <w:sz w:val="16"/>
              </w:rPr>
              <w:t>采购用品资金支付及时率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69CAF">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9EA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21F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EA5D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12C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23F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8B0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EE0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9046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3F644">
            <w:pPr>
              <w:jc w:val="center"/>
            </w:pPr>
            <w:r>
              <w:rPr>
                <w:rFonts w:ascii="宋体" w:hAnsi="宋体" w:eastAsia="宋体"/>
                <w:sz w:val="16"/>
              </w:rPr>
              <w:t>偏差原因：预算预留弹性空间，在设定预算时，为防范价格波动、突发需求等不确定因素，特意预留了一定弹性资金，导致设定资金支付率目标值低于100%。但实际采购中，价格稳定且无突发需求，使得所有预算资金</w:t>
            </w:r>
            <w:r>
              <w:rPr>
                <w:rFonts w:hint="eastAsia" w:ascii="宋体" w:hAnsi="宋体"/>
                <w:sz w:val="16"/>
                <w:lang w:eastAsia="zh-CN"/>
              </w:rPr>
              <w:t>得以</w:t>
            </w:r>
            <w:r>
              <w:rPr>
                <w:rFonts w:ascii="宋体" w:hAnsi="宋体" w:eastAsia="宋体"/>
                <w:sz w:val="16"/>
              </w:rPr>
              <w:t>正常支付。整改措施：优化合同管理：在签订采购合同前，针对条款条件变动，要重新评估对预算执行的影响，避免随意调整支付进度建立合同条款审查小组，财务、采购等人员组成。</w:t>
            </w:r>
          </w:p>
        </w:tc>
      </w:tr>
      <w:tr w14:paraId="661DB5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5265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9901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728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A3318">
            <w:pPr>
              <w:jc w:val="center"/>
            </w:pPr>
            <w:r>
              <w:rPr>
                <w:rFonts w:ascii="宋体" w:hAnsi="宋体" w:eastAsia="宋体"/>
                <w:sz w:val="16"/>
              </w:rPr>
              <w:t>邮电费资金支付及时率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E7F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CAB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C1D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E868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F15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0C4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438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B07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2C58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B5DA8">
            <w:pPr>
              <w:jc w:val="center"/>
            </w:pPr>
          </w:p>
        </w:tc>
      </w:tr>
      <w:tr w14:paraId="311B65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FC17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F232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C3F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B5AAF">
            <w:pPr>
              <w:jc w:val="center"/>
            </w:pPr>
            <w:r>
              <w:rPr>
                <w:rFonts w:ascii="宋体" w:hAnsi="宋体" w:eastAsia="宋体"/>
                <w:sz w:val="16"/>
              </w:rPr>
              <w:t>志愿者生活补贴发放及时率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28A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571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0ED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E293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4FF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9EE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9E8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C08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7F9E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A2890">
            <w:pPr>
              <w:jc w:val="center"/>
            </w:pPr>
          </w:p>
        </w:tc>
      </w:tr>
      <w:tr w14:paraId="66517A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3FA3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334B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5443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3DAFD">
            <w:pPr>
              <w:jc w:val="center"/>
            </w:pPr>
            <w:r>
              <w:rPr>
                <w:rFonts w:ascii="宋体" w:hAnsi="宋体" w:eastAsia="宋体"/>
                <w:sz w:val="16"/>
              </w:rPr>
              <w:t>活动资金支付及时率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9E2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BB2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BEC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218D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19B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2D0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FA7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71F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79F2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59673">
            <w:pPr>
              <w:jc w:val="center"/>
            </w:pPr>
          </w:p>
        </w:tc>
      </w:tr>
      <w:tr w14:paraId="3B4BCF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F6FB0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E6BC3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2139D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1DFDA">
            <w:pPr>
              <w:jc w:val="center"/>
            </w:pPr>
            <w:r>
              <w:rPr>
                <w:rFonts w:ascii="宋体" w:hAnsi="宋体" w:eastAsia="宋体"/>
                <w:sz w:val="16"/>
              </w:rPr>
              <w:t>办公耗材及征订报刊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32DB6">
            <w:pPr>
              <w:jc w:val="center"/>
            </w:pPr>
            <w:r>
              <w:rPr>
                <w:rFonts w:ascii="宋体" w:hAnsi="宋体" w:eastAsia="宋体"/>
                <w:sz w:val="16"/>
              </w:rPr>
              <w:t>&lt;=9704元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448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CD7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7DBB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87B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415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B46BF">
            <w:pPr>
              <w:jc w:val="center"/>
            </w:pPr>
            <w:r>
              <w:rPr>
                <w:rFonts w:ascii="宋体" w:hAnsi="宋体" w:eastAsia="宋体"/>
                <w:sz w:val="16"/>
              </w:rPr>
              <w:t>=9640元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EDE28">
            <w:pPr>
              <w:jc w:val="center"/>
            </w:pPr>
            <w:r>
              <w:rPr>
                <w:rFonts w:ascii="宋体" w:hAnsi="宋体" w:eastAsia="宋体"/>
                <w:sz w:val="16"/>
              </w:rPr>
              <w:t>99.34%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0E9DE">
            <w:pPr>
              <w:jc w:val="center"/>
            </w:pPr>
            <w:r>
              <w:rPr>
                <w:rFonts w:ascii="宋体" w:hAnsi="宋体" w:eastAsia="宋体"/>
                <w:sz w:val="16"/>
              </w:rPr>
              <w:t>3.93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C6873">
            <w:pPr>
              <w:jc w:val="center"/>
            </w:pPr>
            <w:r>
              <w:rPr>
                <w:rFonts w:ascii="宋体" w:hAnsi="宋体" w:eastAsia="宋体"/>
                <w:sz w:val="16"/>
              </w:rPr>
              <w:t>偏差原因：采购人员通过与供应商谈判，对比不同商家价格，选择了性价比更高的产品，使得办公经费支出低于预算。整改措施：下次预算前，安排专人对办公经费涉及的各类用品价格进行详细的市场调研。</w:t>
            </w:r>
          </w:p>
        </w:tc>
      </w:tr>
      <w:tr w14:paraId="2B96FE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515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C4E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FF54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9E63F">
            <w:pPr>
              <w:jc w:val="center"/>
            </w:pPr>
            <w:r>
              <w:rPr>
                <w:rFonts w:ascii="宋体" w:hAnsi="宋体" w:eastAsia="宋体"/>
                <w:sz w:val="16"/>
              </w:rPr>
              <w:t>邮电费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33FA7">
            <w:pPr>
              <w:jc w:val="center"/>
            </w:pPr>
            <w:r>
              <w:rPr>
                <w:rFonts w:ascii="宋体" w:hAnsi="宋体" w:eastAsia="宋体"/>
                <w:sz w:val="16"/>
              </w:rPr>
              <w:t>&lt;=10596元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836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128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ED79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08A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128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D3B1F">
            <w:pPr>
              <w:jc w:val="center"/>
            </w:pPr>
            <w:r>
              <w:rPr>
                <w:rFonts w:ascii="宋体" w:hAnsi="宋体" w:eastAsia="宋体"/>
                <w:sz w:val="16"/>
              </w:rPr>
              <w:t>=10596元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D5D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82AE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7E448">
            <w:pPr>
              <w:jc w:val="center"/>
            </w:pPr>
          </w:p>
        </w:tc>
      </w:tr>
      <w:tr w14:paraId="45B009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7DA3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B953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4AFD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4BD3F">
            <w:pPr>
              <w:jc w:val="center"/>
            </w:pPr>
            <w:r>
              <w:rPr>
                <w:rFonts w:ascii="宋体" w:hAnsi="宋体" w:eastAsia="宋体"/>
                <w:sz w:val="16"/>
              </w:rPr>
              <w:t>志愿者生活补助标准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DFA1F">
            <w:pPr>
              <w:jc w:val="center"/>
            </w:pPr>
            <w:r>
              <w:rPr>
                <w:rFonts w:ascii="宋体" w:hAnsi="宋体" w:eastAsia="宋体"/>
                <w:sz w:val="16"/>
              </w:rPr>
              <w:t>&lt;=7700元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896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E72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3F6D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A47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79D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FDABE">
            <w:pPr>
              <w:jc w:val="center"/>
            </w:pPr>
            <w:r>
              <w:rPr>
                <w:rFonts w:ascii="宋体" w:hAnsi="宋体" w:eastAsia="宋体"/>
                <w:sz w:val="16"/>
              </w:rPr>
              <w:t>=7700元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3B8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D9C7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6F520">
            <w:pPr>
              <w:jc w:val="center"/>
            </w:pPr>
          </w:p>
        </w:tc>
      </w:tr>
      <w:tr w14:paraId="278E1E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D5A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A05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CB90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8AA9C">
            <w:pPr>
              <w:jc w:val="center"/>
            </w:pPr>
            <w:r>
              <w:rPr>
                <w:rFonts w:ascii="宋体" w:hAnsi="宋体" w:eastAsia="宋体"/>
                <w:sz w:val="16"/>
              </w:rPr>
              <w:t>宣传牌制作费用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F412D">
            <w:pPr>
              <w:jc w:val="center"/>
            </w:pPr>
            <w:r>
              <w:rPr>
                <w:rFonts w:ascii="宋体" w:hAnsi="宋体" w:eastAsia="宋体"/>
                <w:sz w:val="16"/>
              </w:rPr>
              <w:t>&lt;=15900元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762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DF9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D657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45D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9E7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9AF46">
            <w:pPr>
              <w:jc w:val="center"/>
            </w:pPr>
            <w:r>
              <w:rPr>
                <w:rFonts w:ascii="宋体" w:hAnsi="宋体" w:eastAsia="宋体"/>
                <w:sz w:val="16"/>
              </w:rPr>
              <w:t>=15900元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0E7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F22A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3F106">
            <w:pPr>
              <w:jc w:val="center"/>
            </w:pPr>
          </w:p>
        </w:tc>
      </w:tr>
      <w:tr w14:paraId="2BC6DE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B00F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671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4087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17AE5">
            <w:pPr>
              <w:jc w:val="center"/>
            </w:pPr>
            <w:r>
              <w:rPr>
                <w:rFonts w:ascii="宋体" w:hAnsi="宋体" w:eastAsia="宋体"/>
                <w:sz w:val="16"/>
              </w:rPr>
              <w:t>奖品及比赛费用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2E561">
            <w:pPr>
              <w:jc w:val="center"/>
            </w:pPr>
            <w:r>
              <w:rPr>
                <w:rFonts w:ascii="宋体" w:hAnsi="宋体" w:eastAsia="宋体"/>
                <w:sz w:val="16"/>
              </w:rPr>
              <w:t>&lt;=29100元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D0C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C44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EB14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49F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FAE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3109C">
            <w:pPr>
              <w:jc w:val="center"/>
            </w:pPr>
            <w:r>
              <w:rPr>
                <w:rFonts w:ascii="宋体" w:hAnsi="宋体" w:eastAsia="宋体"/>
                <w:sz w:val="16"/>
              </w:rPr>
              <w:t>=29100元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2BE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0478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EA6CA">
            <w:pPr>
              <w:jc w:val="center"/>
            </w:pPr>
          </w:p>
        </w:tc>
      </w:tr>
      <w:tr w14:paraId="1490E6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8696F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EA4C82">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21B31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F87D9">
            <w:pPr>
              <w:jc w:val="center"/>
            </w:pPr>
            <w:r>
              <w:rPr>
                <w:rFonts w:ascii="宋体" w:hAnsi="宋体" w:eastAsia="宋体"/>
                <w:sz w:val="16"/>
              </w:rPr>
              <w:t>宣传民族团结文化知晓率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E6142">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AFE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5E3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132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8689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D84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828CB">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9E6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CA1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C8CEE">
            <w:pPr>
              <w:jc w:val="center"/>
            </w:pPr>
          </w:p>
        </w:tc>
      </w:tr>
      <w:tr w14:paraId="752EBA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3A40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7640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39B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0B90C">
            <w:pPr>
              <w:jc w:val="center"/>
            </w:pPr>
            <w:r>
              <w:rPr>
                <w:rFonts w:ascii="宋体" w:hAnsi="宋体" w:eastAsia="宋体"/>
                <w:sz w:val="16"/>
              </w:rPr>
              <w:t>民族团结和谐社会氛围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5C7D9">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46E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4DF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9FE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A9D6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48E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E1D00">
            <w:pPr>
              <w:jc w:val="center"/>
            </w:pPr>
            <w:r>
              <w:rPr>
                <w:rFonts w:ascii="宋体" w:hAnsi="宋体" w:eastAsia="宋体"/>
                <w:sz w:val="16"/>
              </w:rPr>
              <w:t>达到目标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32E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5CC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B08B9">
            <w:pPr>
              <w:jc w:val="center"/>
            </w:pPr>
          </w:p>
        </w:tc>
      </w:tr>
      <w:tr w14:paraId="60BD07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8122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8831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2F05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A13AD">
            <w:pPr>
              <w:jc w:val="center"/>
            </w:pPr>
            <w:r>
              <w:rPr>
                <w:rFonts w:ascii="宋体" w:hAnsi="宋体" w:eastAsia="宋体"/>
                <w:sz w:val="16"/>
              </w:rPr>
              <w:t>干部职工满意度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5B1F6">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B1B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931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8ED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0B3E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6A6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086B9">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5F0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8A0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0AF16">
            <w:pPr>
              <w:jc w:val="center"/>
            </w:pPr>
          </w:p>
        </w:tc>
      </w:tr>
      <w:tr w14:paraId="2CD6E38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A9F29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FDD4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DDC3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F18C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4FF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80F7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CE9E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B63C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4ADF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B51F5">
            <w:pPr>
              <w:jc w:val="center"/>
            </w:pPr>
            <w:r>
              <w:rPr>
                <w:rFonts w:ascii="宋体" w:hAnsi="宋体" w:eastAsia="宋体"/>
                <w:sz w:val="16"/>
              </w:rPr>
              <w:t>99.89分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2AC9AD"/>
        </w:tc>
      </w:tr>
    </w:tbl>
    <w:p w14:paraId="301A5913">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696"/>
        <w:gridCol w:w="616"/>
        <w:gridCol w:w="616"/>
        <w:gridCol w:w="621"/>
        <w:gridCol w:w="616"/>
        <w:gridCol w:w="616"/>
        <w:gridCol w:w="856"/>
        <w:gridCol w:w="696"/>
        <w:gridCol w:w="631"/>
        <w:gridCol w:w="626"/>
      </w:tblGrid>
      <w:tr w14:paraId="766DF2C1">
        <w:tblPrEx>
          <w:tblCellMar>
            <w:top w:w="0" w:type="dxa"/>
            <w:left w:w="108" w:type="dxa"/>
            <w:bottom w:w="0" w:type="dxa"/>
            <w:right w:w="108" w:type="dxa"/>
          </w:tblCellMar>
        </w:tblPrEx>
        <w:tc>
          <w:tcPr>
            <w:tcW w:w="8848" w:type="dxa"/>
            <w:gridSpan w:val="14"/>
            <w:vAlign w:val="center"/>
          </w:tcPr>
          <w:p w14:paraId="0DBD82E9">
            <w:pPr>
              <w:jc w:val="center"/>
            </w:pPr>
            <w:r>
              <w:rPr>
                <w:rFonts w:ascii="宋体" w:hAnsi="宋体" w:eastAsia="宋体"/>
                <w:sz w:val="24"/>
              </w:rPr>
              <w:t>项目支出绩效自评表</w:t>
            </w:r>
          </w:p>
        </w:tc>
      </w:tr>
      <w:tr w14:paraId="59AB8370">
        <w:tblPrEx>
          <w:tblCellMar>
            <w:top w:w="0" w:type="dxa"/>
            <w:left w:w="108" w:type="dxa"/>
            <w:bottom w:w="0" w:type="dxa"/>
            <w:right w:w="108" w:type="dxa"/>
          </w:tblCellMar>
        </w:tblPrEx>
        <w:tc>
          <w:tcPr>
            <w:tcW w:w="8848" w:type="dxa"/>
            <w:gridSpan w:val="14"/>
            <w:vAlign w:val="center"/>
          </w:tcPr>
          <w:p w14:paraId="14F26823">
            <w:pPr>
              <w:jc w:val="center"/>
            </w:pPr>
            <w:r>
              <w:rPr>
                <w:rFonts w:ascii="宋体" w:hAnsi="宋体" w:eastAsia="宋体"/>
                <w:sz w:val="24"/>
              </w:rPr>
              <w:t>(2024年度)</w:t>
            </w:r>
          </w:p>
        </w:tc>
      </w:tr>
      <w:tr w14:paraId="2BEDE5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AED2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817310C">
            <w:pPr>
              <w:jc w:val="center"/>
            </w:pPr>
            <w:r>
              <w:rPr>
                <w:rFonts w:ascii="宋体" w:hAnsi="宋体" w:eastAsia="宋体"/>
                <w:sz w:val="16"/>
              </w:rPr>
              <w:t>(援疆资金)和硕县基层各民族</w:t>
            </w:r>
            <w:r>
              <w:rPr>
                <w:rFonts w:hint="eastAsia" w:ascii="宋体" w:hAnsi="宋体"/>
                <w:sz w:val="16"/>
                <w:lang w:eastAsia="zh-CN"/>
              </w:rPr>
              <w:t>各民族交往交流交融</w:t>
            </w:r>
            <w:r>
              <w:rPr>
                <w:rFonts w:ascii="宋体" w:hAnsi="宋体" w:eastAsia="宋体"/>
                <w:sz w:val="16"/>
              </w:rPr>
              <w:t>项目资金</w:t>
            </w:r>
          </w:p>
        </w:tc>
      </w:tr>
      <w:tr w14:paraId="6D0D7A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C1B0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E2ECC0">
            <w:pPr>
              <w:jc w:val="center"/>
            </w:pPr>
            <w:r>
              <w:rPr>
                <w:rFonts w:ascii="宋体" w:hAnsi="宋体" w:eastAsia="宋体"/>
                <w:sz w:val="16"/>
              </w:rPr>
              <w:t>中共和硕县委员会统一战线工作部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4D1B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39121F">
            <w:pPr>
              <w:jc w:val="center"/>
            </w:pPr>
            <w:r>
              <w:rPr>
                <w:rFonts w:ascii="宋体" w:hAnsi="宋体" w:eastAsia="宋体"/>
                <w:sz w:val="16"/>
              </w:rPr>
              <w:t>中共和硕县委员会统一战线工作部</w:t>
            </w:r>
          </w:p>
        </w:tc>
      </w:tr>
      <w:tr w14:paraId="3F51499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A59BD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9EEC2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C258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823C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CE4C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EC0D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34FC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2D334">
            <w:pPr>
              <w:jc w:val="center"/>
            </w:pPr>
            <w:r>
              <w:rPr>
                <w:rFonts w:ascii="宋体" w:hAnsi="宋体" w:eastAsia="宋体"/>
                <w:sz w:val="16"/>
              </w:rPr>
              <w:t>得分</w:t>
            </w:r>
          </w:p>
        </w:tc>
      </w:tr>
      <w:tr w14:paraId="20D8DF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B6B37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B8F2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22571">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4145A">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0486C">
            <w:pPr>
              <w:jc w:val="center"/>
            </w:pPr>
            <w:r>
              <w:rPr>
                <w:rFonts w:ascii="宋体" w:hAnsi="宋体" w:eastAsia="宋体"/>
                <w:sz w:val="16"/>
              </w:rPr>
              <w:t>8.70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6738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1321E">
            <w:pPr>
              <w:jc w:val="center"/>
            </w:pPr>
            <w:r>
              <w:rPr>
                <w:rFonts w:ascii="宋体" w:hAnsi="宋体" w:eastAsia="宋体"/>
                <w:sz w:val="16"/>
              </w:rPr>
              <w:t>96.67%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EB894">
            <w:pPr>
              <w:jc w:val="center"/>
            </w:pPr>
            <w:r>
              <w:rPr>
                <w:rFonts w:ascii="宋体" w:hAnsi="宋体" w:eastAsia="宋体"/>
                <w:sz w:val="16"/>
              </w:rPr>
              <w:t>9.17</w:t>
            </w:r>
          </w:p>
        </w:tc>
      </w:tr>
      <w:tr w14:paraId="5A5F43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493A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5F05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77884">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2F2DC">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09606">
            <w:pPr>
              <w:jc w:val="center"/>
            </w:pPr>
            <w:r>
              <w:rPr>
                <w:rFonts w:ascii="宋体" w:hAnsi="宋体" w:eastAsia="宋体"/>
                <w:sz w:val="16"/>
              </w:rPr>
              <w:t>8.70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62E8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82C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BB5E5">
            <w:pPr>
              <w:jc w:val="center"/>
            </w:pPr>
            <w:r>
              <w:rPr>
                <w:rFonts w:ascii="宋体" w:hAnsi="宋体" w:eastAsia="宋体"/>
                <w:sz w:val="16"/>
              </w:rPr>
              <w:t>-</w:t>
            </w:r>
          </w:p>
        </w:tc>
      </w:tr>
      <w:tr w14:paraId="46CD8E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DC1D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35CD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F62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A166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65D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BFF1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DFB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5E91B">
            <w:pPr>
              <w:jc w:val="center"/>
            </w:pPr>
            <w:r>
              <w:rPr>
                <w:rFonts w:ascii="宋体" w:hAnsi="宋体" w:eastAsia="宋体"/>
                <w:sz w:val="16"/>
              </w:rPr>
              <w:t>-</w:t>
            </w:r>
          </w:p>
        </w:tc>
      </w:tr>
      <w:tr w14:paraId="4E819A6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A00AF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39057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40D46F">
            <w:pPr>
              <w:jc w:val="center"/>
            </w:pPr>
            <w:r>
              <w:rPr>
                <w:rFonts w:ascii="宋体" w:hAnsi="宋体" w:eastAsia="宋体"/>
                <w:sz w:val="16"/>
              </w:rPr>
              <w:t>总体目标完成情况</w:t>
            </w:r>
          </w:p>
        </w:tc>
      </w:tr>
      <w:tr w14:paraId="7D3CAB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7A045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DC416C">
            <w:pPr>
              <w:jc w:val="both"/>
            </w:pPr>
            <w:r>
              <w:rPr>
                <w:rFonts w:ascii="宋体" w:hAnsi="宋体" w:eastAsia="宋体"/>
                <w:sz w:val="16"/>
              </w:rPr>
              <w:t>通过对全县范围部分选派了</w:t>
            </w:r>
            <w:r>
              <w:rPr>
                <w:rFonts w:hint="eastAsia" w:ascii="宋体" w:hAnsi="宋体"/>
                <w:sz w:val="16"/>
                <w:lang w:val="en-US" w:eastAsia="zh-CN"/>
              </w:rPr>
              <w:t>ZJ</w:t>
            </w:r>
            <w:r>
              <w:rPr>
                <w:rFonts w:ascii="宋体" w:hAnsi="宋体" w:eastAsia="宋体"/>
                <w:sz w:val="16"/>
              </w:rPr>
              <w:t>人士4人，民族团结进步模范个人4人，民族</w:t>
            </w:r>
            <w:r>
              <w:rPr>
                <w:rFonts w:hint="eastAsia" w:ascii="宋体" w:hAnsi="宋体"/>
                <w:sz w:val="16"/>
                <w:lang w:val="en-US" w:eastAsia="zh-CN"/>
              </w:rPr>
              <w:t>ZJ</w:t>
            </w:r>
            <w:r>
              <w:rPr>
                <w:rFonts w:ascii="宋体" w:hAnsi="宋体" w:eastAsia="宋体"/>
                <w:sz w:val="16"/>
              </w:rPr>
              <w:t>领域工作人员2人，赴河北为期10天参观学习，不仅仅是一次知识的汲取，更是一次心灵的交融；不同领域的同志更加深刻地认识到团结的力量，为他们注入新的活力和动力，将所学所感转化为实际行动，从而达到推动当地的团结进步事业贡献更多的智慧和力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0997BC">
            <w:pPr>
              <w:jc w:val="both"/>
            </w:pPr>
            <w:r>
              <w:rPr>
                <w:rFonts w:ascii="宋体" w:hAnsi="宋体" w:eastAsia="宋体"/>
                <w:sz w:val="16"/>
              </w:rPr>
              <w:t>资金投入后，成功举办和硕县委</w:t>
            </w:r>
            <w:bookmarkStart w:id="0" w:name="_GoBack"/>
            <w:r>
              <w:rPr>
                <w:rFonts w:ascii="宋体" w:hAnsi="宋体" w:eastAsia="宋体"/>
                <w:sz w:val="16"/>
              </w:rPr>
              <w:t>统战</w:t>
            </w:r>
            <w:bookmarkEnd w:id="0"/>
            <w:r>
              <w:rPr>
                <w:rFonts w:ascii="宋体" w:hAnsi="宋体" w:eastAsia="宋体"/>
                <w:sz w:val="16"/>
              </w:rPr>
              <w:t>领域赴河北张家口市开展交往交流交融活动，涵盖文化、教育，在学习期间</w:t>
            </w:r>
            <w:r>
              <w:rPr>
                <w:rFonts w:hint="eastAsia" w:ascii="宋体" w:hAnsi="宋体"/>
                <w:sz w:val="16"/>
                <w:lang w:eastAsia="zh-CN"/>
              </w:rPr>
              <w:t>受益匪浅</w:t>
            </w:r>
            <w:r>
              <w:rPr>
                <w:rFonts w:ascii="宋体" w:hAnsi="宋体" w:eastAsia="宋体"/>
                <w:sz w:val="16"/>
              </w:rPr>
              <w:t>，感受颇深，全体成员不仅开阔了视野，同时在思想上也有了新的飞跃，加深了“张硕”两地交往交流交融，圆满完成了为期10天的考察学习。</w:t>
            </w:r>
          </w:p>
        </w:tc>
      </w:tr>
      <w:tr w14:paraId="727D49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19F41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D87E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A7DD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471D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216C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99D0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0D24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5828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FFB4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76A6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EEDF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A536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AE75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DB6F9">
            <w:pPr>
              <w:jc w:val="center"/>
            </w:pPr>
            <w:r>
              <w:rPr>
                <w:rFonts w:ascii="宋体" w:hAnsi="宋体" w:eastAsia="宋体"/>
                <w:sz w:val="16"/>
              </w:rPr>
              <w:t>偏差原因分析及改进措施</w:t>
            </w:r>
          </w:p>
        </w:tc>
      </w:tr>
      <w:tr w14:paraId="1CDB59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2CC73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25150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9C7AD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E4338">
            <w:pPr>
              <w:jc w:val="center"/>
            </w:pPr>
            <w:r>
              <w:rPr>
                <w:rFonts w:ascii="宋体" w:hAnsi="宋体" w:eastAsia="宋体"/>
                <w:sz w:val="16"/>
              </w:rPr>
              <w:t>赴河北交流交融参观学习次数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82FA7">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126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7CD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6EC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C73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94F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E787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69F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680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3FF33">
            <w:pPr>
              <w:jc w:val="center"/>
            </w:pPr>
          </w:p>
        </w:tc>
      </w:tr>
      <w:tr w14:paraId="324FB8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41B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566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3448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E4D65">
            <w:pPr>
              <w:jc w:val="center"/>
            </w:pPr>
            <w:r>
              <w:rPr>
                <w:rFonts w:ascii="宋体" w:hAnsi="宋体" w:eastAsia="宋体"/>
                <w:sz w:val="16"/>
              </w:rPr>
              <w:t>赴河北培训交流交融参观学习人数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EDFBD">
            <w:pPr>
              <w:jc w:val="center"/>
            </w:pPr>
            <w:r>
              <w:rPr>
                <w:rFonts w:ascii="宋体" w:hAnsi="宋体" w:eastAsia="宋体"/>
                <w:sz w:val="16"/>
              </w:rPr>
              <w:t>&gt;=10人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60E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4F3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28C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08E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3F3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50F69">
            <w:pPr>
              <w:jc w:val="center"/>
            </w:pPr>
            <w:r>
              <w:rPr>
                <w:rFonts w:ascii="宋体" w:hAnsi="宋体" w:eastAsia="宋体"/>
                <w:sz w:val="16"/>
              </w:rPr>
              <w: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AE2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2BD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1B207">
            <w:pPr>
              <w:jc w:val="center"/>
            </w:pPr>
          </w:p>
        </w:tc>
      </w:tr>
      <w:tr w14:paraId="0BA735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1BA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CFA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B897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8EF1E">
            <w:pPr>
              <w:jc w:val="center"/>
            </w:pPr>
            <w:r>
              <w:rPr>
                <w:rFonts w:ascii="宋体" w:hAnsi="宋体" w:eastAsia="宋体"/>
                <w:sz w:val="16"/>
              </w:rPr>
              <w:t>赴河北交流交融参观学习天数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6DA3B">
            <w:pPr>
              <w:jc w:val="center"/>
            </w:pPr>
            <w:r>
              <w:rPr>
                <w:rFonts w:ascii="宋体" w:hAnsi="宋体" w:eastAsia="宋体"/>
                <w:sz w:val="16"/>
              </w:rPr>
              <w:t>&gt;=10天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B39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917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100B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B72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E73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12824">
            <w:pPr>
              <w:jc w:val="center"/>
            </w:pPr>
            <w:r>
              <w:rPr>
                <w:rFonts w:ascii="宋体" w:hAnsi="宋体" w:eastAsia="宋体"/>
                <w:sz w:val="16"/>
              </w:rPr>
              <w:t>=10天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5B0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545D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950C8">
            <w:pPr>
              <w:jc w:val="center"/>
            </w:pPr>
          </w:p>
        </w:tc>
      </w:tr>
      <w:tr w14:paraId="4D5BCE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8682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580B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3208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69294">
            <w:pPr>
              <w:jc w:val="center"/>
            </w:pPr>
            <w:r>
              <w:rPr>
                <w:rFonts w:ascii="宋体" w:hAnsi="宋体" w:eastAsia="宋体"/>
                <w:sz w:val="16"/>
              </w:rPr>
              <w:t>参加赴河北学习出勤率交流交融参观学习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3EA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482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28F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20E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A0A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47A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44C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E04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861E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0A6AC">
            <w:pPr>
              <w:jc w:val="center"/>
            </w:pPr>
          </w:p>
        </w:tc>
      </w:tr>
      <w:tr w14:paraId="0416FD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BAB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A20F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74F7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712BE">
            <w:pPr>
              <w:jc w:val="center"/>
            </w:pPr>
            <w:r>
              <w:rPr>
                <w:rFonts w:ascii="宋体" w:hAnsi="宋体" w:eastAsia="宋体"/>
                <w:sz w:val="16"/>
              </w:rPr>
              <w:t>赴河北交流交融参观学习按期完成率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45A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6FA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712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637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3B8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70D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012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B0D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FA5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7B9FD">
            <w:pPr>
              <w:jc w:val="center"/>
            </w:pPr>
          </w:p>
        </w:tc>
      </w:tr>
      <w:tr w14:paraId="588045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E287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D6C0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F194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07678">
            <w:pPr>
              <w:jc w:val="center"/>
            </w:pPr>
            <w:r>
              <w:rPr>
                <w:rFonts w:ascii="宋体" w:hAnsi="宋体" w:eastAsia="宋体"/>
                <w:sz w:val="16"/>
              </w:rPr>
              <w:t>赴河北交流交融参观学习人均标准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137D1">
            <w:pPr>
              <w:jc w:val="center"/>
            </w:pPr>
            <w:r>
              <w:rPr>
                <w:rFonts w:ascii="宋体" w:hAnsi="宋体" w:eastAsia="宋体"/>
                <w:sz w:val="16"/>
              </w:rPr>
              <w:t>&lt;=9000元/人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D75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D6A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F627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B50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3473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F1F19">
            <w:pPr>
              <w:jc w:val="center"/>
            </w:pPr>
            <w:r>
              <w:rPr>
                <w:rFonts w:ascii="宋体" w:hAnsi="宋体" w:eastAsia="宋体"/>
                <w:sz w:val="16"/>
              </w:rPr>
              <w:t>=8703.99元/人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23EB7">
            <w:pPr>
              <w:jc w:val="center"/>
            </w:pPr>
            <w:r>
              <w:rPr>
                <w:rFonts w:ascii="宋体" w:hAnsi="宋体" w:eastAsia="宋体"/>
                <w:sz w:val="16"/>
              </w:rPr>
              <w:t>96.71%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0FC6E">
            <w:pPr>
              <w:jc w:val="center"/>
            </w:pPr>
            <w:r>
              <w:rPr>
                <w:rFonts w:ascii="宋体" w:hAnsi="宋体" w:eastAsia="宋体"/>
                <w:sz w:val="16"/>
              </w:rPr>
              <w:t>18.35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E1DCA">
            <w:pPr>
              <w:jc w:val="center"/>
            </w:pPr>
            <w:r>
              <w:rPr>
                <w:rFonts w:ascii="宋体" w:hAnsi="宋体" w:eastAsia="宋体"/>
                <w:sz w:val="16"/>
              </w:rPr>
              <w:t>偏差原因：资金支付环节繁琐，部分费用因为手续不全，</w:t>
            </w:r>
            <w:r>
              <w:rPr>
                <w:rFonts w:hint="eastAsia" w:ascii="宋体" w:hAnsi="宋体"/>
                <w:sz w:val="16"/>
                <w:lang w:eastAsia="zh-CN"/>
              </w:rPr>
              <w:t>个别</w:t>
            </w:r>
            <w:r>
              <w:rPr>
                <w:rFonts w:ascii="宋体" w:hAnsi="宋体" w:eastAsia="宋体"/>
                <w:sz w:val="16"/>
              </w:rPr>
              <w:t>费用无法报销支付，导致在绩效自评时实际支付金额低于预算。整改措施：提升预算编制水平，加强财务部门与项目实施部门的沟通协调，及时解决资金支付过程中出现的问题。</w:t>
            </w:r>
          </w:p>
        </w:tc>
      </w:tr>
      <w:tr w14:paraId="5BF09F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6E6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A8AF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252D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00A39">
            <w:pPr>
              <w:jc w:val="center"/>
            </w:pPr>
            <w:r>
              <w:rPr>
                <w:rFonts w:ascii="宋体" w:hAnsi="宋体" w:eastAsia="宋体"/>
                <w:sz w:val="16"/>
              </w:rPr>
              <w:t>维护</w:t>
            </w:r>
            <w:r>
              <w:rPr>
                <w:rFonts w:hint="eastAsia" w:ascii="宋体" w:hAnsi="宋体"/>
                <w:sz w:val="16"/>
                <w:lang w:eastAsia="zh-CN"/>
              </w:rPr>
              <w:t>社会</w:t>
            </w:r>
            <w:r>
              <w:rPr>
                <w:rFonts w:ascii="宋体" w:hAnsi="宋体" w:eastAsia="宋体"/>
                <w:sz w:val="16"/>
              </w:rPr>
              <w:t>长治久安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E23C8">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C83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E7A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1665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D53E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016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436B0">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FDE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4510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8C079">
            <w:pPr>
              <w:jc w:val="center"/>
            </w:pPr>
          </w:p>
        </w:tc>
      </w:tr>
      <w:tr w14:paraId="1F22BD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2358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33C6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ABEC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15C46">
            <w:pPr>
              <w:jc w:val="center"/>
            </w:pPr>
            <w:r>
              <w:rPr>
                <w:rFonts w:ascii="宋体" w:hAnsi="宋体" w:eastAsia="宋体"/>
                <w:sz w:val="16"/>
              </w:rPr>
              <w:t>干部职工满意度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9E2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098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F24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179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1EEC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064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2C5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98A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31F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C0AF2">
            <w:pPr>
              <w:jc w:val="center"/>
            </w:pPr>
          </w:p>
        </w:tc>
      </w:tr>
      <w:tr w14:paraId="691E598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84BEF7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7A19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FFDD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5256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BC9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D046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564C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A6F0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6CD7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EBA35">
            <w:pPr>
              <w:jc w:val="center"/>
            </w:pPr>
            <w:r>
              <w:rPr>
                <w:rFonts w:ascii="宋体" w:hAnsi="宋体" w:eastAsia="宋体"/>
                <w:sz w:val="16"/>
              </w:rPr>
              <w:t>97.52分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5309DA"/>
        </w:tc>
      </w:tr>
    </w:tbl>
    <w:p w14:paraId="679BE55A">
      <w:r>
        <w:br w:type="page"/>
      </w:r>
    </w:p>
    <w:p w14:paraId="05B2A48D">
      <w:pPr>
        <w:spacing w:line="640" w:lineRule="exact"/>
        <w:ind w:firstLine="640"/>
        <w:jc w:val="both"/>
        <w:outlineLvl w:val="2"/>
      </w:pPr>
      <w:r>
        <w:rPr>
          <w:rFonts w:ascii="黑体" w:hAnsi="黑体" w:eastAsia="黑体"/>
          <w:sz w:val="32"/>
        </w:rPr>
        <w:t>十二、其他需说明的事项</w:t>
      </w:r>
    </w:p>
    <w:p w14:paraId="376F0200">
      <w:pPr>
        <w:spacing w:line="580" w:lineRule="exact"/>
        <w:ind w:firstLine="640"/>
        <w:jc w:val="both"/>
      </w:pPr>
      <w:r>
        <w:rPr>
          <w:rFonts w:ascii="仿宋_GB2312" w:hAnsi="仿宋_GB2312" w:eastAsia="仿宋_GB2312"/>
          <w:b w:val="0"/>
          <w:sz w:val="32"/>
        </w:rPr>
        <w:t>本单位无其他需说明的事项。</w:t>
      </w:r>
    </w:p>
    <w:p w14:paraId="0C4A8486">
      <w:r>
        <w:br w:type="page"/>
      </w:r>
    </w:p>
    <w:p w14:paraId="4C7111D8">
      <w:pPr>
        <w:spacing w:line="240" w:lineRule="auto"/>
        <w:jc w:val="center"/>
        <w:outlineLvl w:val="1"/>
      </w:pPr>
      <w:r>
        <w:rPr>
          <w:rFonts w:ascii="黑体" w:hAnsi="黑体" w:eastAsia="黑体"/>
          <w:sz w:val="32"/>
        </w:rPr>
        <w:t>第三部分 专业名词解释</w:t>
      </w:r>
    </w:p>
    <w:p w14:paraId="02AB16E8">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D788AC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E24E54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92EF67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56246B2">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207DFF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E331CC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3C029A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6F74E2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FE883D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E17380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9C28E3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4F6E02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026BA4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D6CB473">
      <w:r>
        <w:br w:type="page"/>
      </w:r>
    </w:p>
    <w:p w14:paraId="42C85F5C">
      <w:pPr>
        <w:spacing w:line="240" w:lineRule="auto"/>
        <w:jc w:val="center"/>
        <w:outlineLvl w:val="1"/>
      </w:pPr>
      <w:r>
        <w:rPr>
          <w:rFonts w:ascii="黑体" w:hAnsi="黑体" w:eastAsia="黑体"/>
          <w:sz w:val="32"/>
        </w:rPr>
        <w:t>第四部分 部门决算报表（见附表）</w:t>
      </w:r>
    </w:p>
    <w:p w14:paraId="643DA48B">
      <w:pPr>
        <w:spacing w:line="240" w:lineRule="auto"/>
        <w:ind w:firstLine="640"/>
        <w:jc w:val="both"/>
      </w:pPr>
      <w:r>
        <w:rPr>
          <w:rFonts w:ascii="仿宋_GB2312" w:hAnsi="仿宋_GB2312" w:eastAsia="仿宋_GB2312"/>
          <w:b w:val="0"/>
          <w:sz w:val="32"/>
        </w:rPr>
        <w:t>一、《收入支出决算总表》</w:t>
      </w:r>
    </w:p>
    <w:p w14:paraId="05C5D0FC">
      <w:pPr>
        <w:spacing w:line="240" w:lineRule="auto"/>
        <w:ind w:firstLine="640"/>
        <w:jc w:val="both"/>
      </w:pPr>
      <w:r>
        <w:rPr>
          <w:rFonts w:ascii="仿宋_GB2312" w:hAnsi="仿宋_GB2312" w:eastAsia="仿宋_GB2312"/>
          <w:b w:val="0"/>
          <w:sz w:val="32"/>
        </w:rPr>
        <w:t>二、《收入决算表》</w:t>
      </w:r>
    </w:p>
    <w:p w14:paraId="0A582E1D">
      <w:pPr>
        <w:spacing w:line="240" w:lineRule="auto"/>
        <w:ind w:firstLine="640"/>
        <w:jc w:val="both"/>
      </w:pPr>
      <w:r>
        <w:rPr>
          <w:rFonts w:ascii="仿宋_GB2312" w:hAnsi="仿宋_GB2312" w:eastAsia="仿宋_GB2312"/>
          <w:b w:val="0"/>
          <w:sz w:val="32"/>
        </w:rPr>
        <w:t>三、《支出决算表》</w:t>
      </w:r>
    </w:p>
    <w:p w14:paraId="5E52AE89">
      <w:pPr>
        <w:spacing w:line="240" w:lineRule="auto"/>
        <w:ind w:firstLine="640"/>
        <w:jc w:val="both"/>
      </w:pPr>
      <w:r>
        <w:rPr>
          <w:rFonts w:ascii="仿宋_GB2312" w:hAnsi="仿宋_GB2312" w:eastAsia="仿宋_GB2312"/>
          <w:b w:val="0"/>
          <w:sz w:val="32"/>
        </w:rPr>
        <w:t>四、《财政拨款收入支出决算总表》</w:t>
      </w:r>
    </w:p>
    <w:p w14:paraId="2B69BA6B">
      <w:pPr>
        <w:spacing w:line="240" w:lineRule="auto"/>
        <w:ind w:firstLine="640"/>
        <w:jc w:val="both"/>
      </w:pPr>
      <w:r>
        <w:rPr>
          <w:rFonts w:ascii="仿宋_GB2312" w:hAnsi="仿宋_GB2312" w:eastAsia="仿宋_GB2312"/>
          <w:b w:val="0"/>
          <w:sz w:val="32"/>
        </w:rPr>
        <w:t>五、《一般公共预算财政拨款支出决算表》</w:t>
      </w:r>
    </w:p>
    <w:p w14:paraId="2C887A9B">
      <w:pPr>
        <w:spacing w:line="240" w:lineRule="auto"/>
        <w:ind w:firstLine="640"/>
        <w:jc w:val="both"/>
      </w:pPr>
      <w:r>
        <w:rPr>
          <w:rFonts w:ascii="仿宋_GB2312" w:hAnsi="仿宋_GB2312" w:eastAsia="仿宋_GB2312"/>
          <w:b w:val="0"/>
          <w:sz w:val="32"/>
        </w:rPr>
        <w:t>六、《一般公共预算财政拨款基本支出决算表》</w:t>
      </w:r>
    </w:p>
    <w:p w14:paraId="5881ACE6">
      <w:pPr>
        <w:spacing w:line="240" w:lineRule="auto"/>
        <w:ind w:firstLine="640"/>
        <w:jc w:val="both"/>
      </w:pPr>
      <w:r>
        <w:rPr>
          <w:rFonts w:ascii="仿宋_GB2312" w:hAnsi="仿宋_GB2312" w:eastAsia="仿宋_GB2312"/>
          <w:b w:val="0"/>
          <w:sz w:val="32"/>
        </w:rPr>
        <w:t>七、《政府性基金预算财政拨款收入支出决算表》</w:t>
      </w:r>
    </w:p>
    <w:p w14:paraId="7396E0FD">
      <w:pPr>
        <w:spacing w:line="240" w:lineRule="auto"/>
        <w:ind w:firstLine="640"/>
        <w:jc w:val="both"/>
      </w:pPr>
      <w:r>
        <w:rPr>
          <w:rFonts w:ascii="仿宋_GB2312" w:hAnsi="仿宋_GB2312" w:eastAsia="仿宋_GB2312"/>
          <w:b w:val="0"/>
          <w:sz w:val="32"/>
        </w:rPr>
        <w:t>八、《国有资本经营预算财政拨款收入支出决算表》</w:t>
      </w:r>
    </w:p>
    <w:p w14:paraId="5670D434">
      <w:pPr>
        <w:spacing w:line="240" w:lineRule="auto"/>
        <w:ind w:firstLine="640"/>
        <w:jc w:val="both"/>
      </w:pPr>
      <w:r>
        <w:rPr>
          <w:rFonts w:ascii="仿宋_GB2312" w:hAnsi="仿宋_GB2312" w:eastAsia="仿宋_GB2312"/>
          <w:b w:val="0"/>
          <w:sz w:val="32"/>
        </w:rPr>
        <w:t>九、《财政拨款“三公”经费支出决算表》</w:t>
      </w:r>
    </w:p>
    <w:p w14:paraId="2BDF1D74">
      <w:pPr>
        <w:spacing w:line="240" w:lineRule="auto"/>
        <w:ind w:firstLine="640"/>
        <w:jc w:val="both"/>
      </w:pPr>
    </w:p>
    <w:p w14:paraId="2FEC2733">
      <w:pPr>
        <w:spacing w:line="240" w:lineRule="auto"/>
        <w:ind w:firstLine="640"/>
        <w:jc w:val="both"/>
      </w:pPr>
    </w:p>
    <w:p w14:paraId="634C5660">
      <w:pPr>
        <w:spacing w:line="240" w:lineRule="auto"/>
        <w:ind w:firstLine="640"/>
        <w:jc w:val="both"/>
      </w:pPr>
    </w:p>
    <w:p w14:paraId="07D6932C">
      <w:pPr>
        <w:spacing w:line="240" w:lineRule="auto"/>
        <w:ind w:firstLine="640"/>
        <w:jc w:val="both"/>
      </w:pPr>
    </w:p>
    <w:p w14:paraId="4B1D0C8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B984785"/>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7EC7920"/>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A9255B2"/>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5847</Words>
  <Characters>6643</Characters>
  <Lines>0</Lines>
  <Paragraphs>0</Paragraphs>
  <TotalTime>7</TotalTime>
  <ScaleCrop>false</ScaleCrop>
  <LinksUpToDate>false</LinksUpToDate>
  <CharactersWithSpaces>6651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2025-09-04T10:33:48Z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eyJoZGlkIjoiZjE5ZjY4MTZmMjdlZTdiNDk2YjE2YjM5MDdjZDkwNjQiLCJ1c2VySWQiOiI0OTMxMTE3MjUifQ==</vt:lpwstr>
  </property>
</Properties>
</file>