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bookmarkStart w:id="0" w:name="_GoBack"/>
      <w:bookmarkEnd w:id="0"/>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7BF06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中共和硕县委员会直属机关工作委员会</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A16CC65">
      <w:r>
        <w:br w:type="page"/>
      </w:r>
    </w:p>
    <w:p w14:paraId="446F4491">
      <w:pPr>
        <w:spacing w:line="640" w:lineRule="exact"/>
        <w:jc w:val="center"/>
        <w:outlineLvl w:val="1"/>
      </w:pPr>
      <w:r>
        <w:rPr>
          <w:rFonts w:ascii="黑体" w:hAnsi="黑体" w:eastAsia="黑体"/>
          <w:sz w:val="32"/>
        </w:rPr>
        <w:t>第一部分 单位概况</w:t>
      </w:r>
    </w:p>
    <w:p w14:paraId="4045EF24">
      <w:pPr>
        <w:spacing w:line="640" w:lineRule="exact"/>
        <w:ind w:firstLine="640"/>
        <w:jc w:val="both"/>
        <w:outlineLvl w:val="2"/>
      </w:pPr>
      <w:r>
        <w:rPr>
          <w:rFonts w:ascii="黑体" w:hAnsi="黑体" w:eastAsia="黑体"/>
          <w:sz w:val="32"/>
        </w:rPr>
        <w:t>一、主要职能</w:t>
      </w:r>
    </w:p>
    <w:p w14:paraId="7D12B964">
      <w:pPr>
        <w:spacing w:line="580" w:lineRule="exact"/>
        <w:ind w:firstLine="640"/>
        <w:jc w:val="both"/>
      </w:pPr>
      <w:r>
        <w:rPr>
          <w:rFonts w:ascii="仿宋_GB2312" w:hAnsi="仿宋_GB2312" w:eastAsia="仿宋_GB2312"/>
          <w:sz w:val="32"/>
        </w:rPr>
        <w:t>（一）根据县委对县级机关和直属</w:t>
      </w:r>
      <w:r>
        <w:rPr>
          <w:rFonts w:hint="eastAsia" w:ascii="仿宋_GB2312" w:hAnsi="仿宋_GB2312" w:eastAsia="仿宋_GB2312"/>
          <w:sz w:val="32"/>
          <w:lang w:eastAsia="zh-CN"/>
        </w:rPr>
        <w:t>事业单位党建工作</w:t>
      </w:r>
      <w:r>
        <w:rPr>
          <w:rFonts w:ascii="仿宋_GB2312" w:hAnsi="仿宋_GB2312" w:eastAsia="仿宋_GB2312"/>
          <w:sz w:val="32"/>
        </w:rPr>
        <w:t>的决定、指示，负责制定机关和直属企事业单位党的建设工作规划，领导机关和直属单位党组织做好党的思想、组织和作风建设，做好对党员的教育、管理和监督工作。</w:t>
      </w:r>
    </w:p>
    <w:p w14:paraId="282C4E4F">
      <w:pPr>
        <w:spacing w:line="580" w:lineRule="exact"/>
        <w:ind w:firstLine="640"/>
        <w:jc w:val="both"/>
      </w:pPr>
      <w:r>
        <w:rPr>
          <w:rFonts w:ascii="仿宋_GB2312" w:hAnsi="仿宋_GB2312" w:eastAsia="仿宋_GB2312"/>
          <w:sz w:val="32"/>
        </w:rPr>
        <w:t>（二）参与部门和直属单位党员领导干部民主生活会的管理，指导机关党组织开好民主生活会。</w:t>
      </w:r>
    </w:p>
    <w:p w14:paraId="1ED0583C">
      <w:pPr>
        <w:spacing w:line="580" w:lineRule="exact"/>
        <w:ind w:firstLine="640"/>
        <w:jc w:val="both"/>
      </w:pPr>
      <w:r>
        <w:rPr>
          <w:rFonts w:ascii="仿宋_GB2312" w:hAnsi="仿宋_GB2312" w:eastAsia="仿宋_GB2312"/>
          <w:sz w:val="32"/>
        </w:rPr>
        <w:t>（三）指导机关和直属单位党组织加强党风廉政建设，实施对党员特别是党员领导干部的监督，及时向县委反映部门和直属单位领导班子和领导干部的情况。</w:t>
      </w:r>
    </w:p>
    <w:p w14:paraId="7AE1B2E1">
      <w:pPr>
        <w:spacing w:line="580" w:lineRule="exact"/>
        <w:ind w:firstLine="640"/>
        <w:jc w:val="both"/>
      </w:pPr>
      <w:r>
        <w:rPr>
          <w:rFonts w:ascii="仿宋_GB2312" w:hAnsi="仿宋_GB2312" w:eastAsia="仿宋_GB2312"/>
          <w:sz w:val="32"/>
        </w:rPr>
        <w:t>（四）负责指导部门和直属单位的理论学习和部门中层干部的政治理论培训。</w:t>
      </w:r>
    </w:p>
    <w:p w14:paraId="1DB7BC55">
      <w:pPr>
        <w:spacing w:line="580" w:lineRule="exact"/>
        <w:ind w:firstLine="640"/>
        <w:jc w:val="both"/>
      </w:pPr>
      <w:r>
        <w:rPr>
          <w:rFonts w:ascii="仿宋_GB2312" w:hAnsi="仿宋_GB2312" w:eastAsia="仿宋_GB2312"/>
          <w:sz w:val="32"/>
        </w:rPr>
        <w:t>（五）负责指导机关和直属单位精神文明建设和思想政治工作。</w:t>
      </w:r>
    </w:p>
    <w:p w14:paraId="47491ADC">
      <w:pPr>
        <w:spacing w:line="580" w:lineRule="exact"/>
        <w:ind w:firstLine="640"/>
        <w:jc w:val="both"/>
      </w:pPr>
      <w:r>
        <w:rPr>
          <w:rFonts w:ascii="仿宋_GB2312" w:hAnsi="仿宋_GB2312" w:eastAsia="仿宋_GB2312"/>
          <w:sz w:val="32"/>
        </w:rPr>
        <w:t>（六）审批机关和直属单位党组织领导班子的组成及书记、副书记的职务任免（县管干部按干部管理权限报县委同意后审批）；审批直属党总支、党支部的党员发展工作。</w:t>
      </w:r>
    </w:p>
    <w:p w14:paraId="55992E90">
      <w:pPr>
        <w:spacing w:line="580" w:lineRule="exact"/>
        <w:ind w:firstLine="640"/>
        <w:jc w:val="both"/>
      </w:pPr>
      <w:r>
        <w:rPr>
          <w:rFonts w:ascii="仿宋_GB2312" w:hAnsi="仿宋_GB2312" w:eastAsia="仿宋_GB2312"/>
          <w:sz w:val="32"/>
        </w:rPr>
        <w:t>（七）负责调整和理顺机关党组织的设置及其隶属关系。</w:t>
      </w:r>
    </w:p>
    <w:p w14:paraId="6A225D6B">
      <w:pPr>
        <w:spacing w:line="580" w:lineRule="exact"/>
        <w:ind w:firstLine="640"/>
        <w:jc w:val="both"/>
      </w:pPr>
      <w:r>
        <w:rPr>
          <w:rFonts w:ascii="仿宋_GB2312" w:hAnsi="仿宋_GB2312" w:eastAsia="仿宋_GB2312"/>
          <w:sz w:val="32"/>
        </w:rPr>
        <w:t>（八）负责指导下一级机关党（工）委的党务工作。</w:t>
      </w:r>
    </w:p>
    <w:p w14:paraId="664BEDC7">
      <w:pPr>
        <w:spacing w:line="580" w:lineRule="exact"/>
        <w:ind w:firstLine="640"/>
        <w:jc w:val="both"/>
      </w:pPr>
      <w:r>
        <w:rPr>
          <w:rFonts w:ascii="仿宋_GB2312" w:hAnsi="仿宋_GB2312" w:eastAsia="仿宋_GB2312"/>
          <w:sz w:val="32"/>
        </w:rPr>
        <w:t>（九）领导县直机关工会工作委员会、共青团县直机关工作委员会和县直机关妇女工作委员会等群众组织，讨论研究这些组织的重要工作，支持其依据各自的章程独立负责地开展工作。</w:t>
      </w:r>
    </w:p>
    <w:p w14:paraId="51F35596">
      <w:pPr>
        <w:spacing w:line="640" w:lineRule="exact"/>
        <w:ind w:firstLine="640"/>
        <w:jc w:val="both"/>
        <w:outlineLvl w:val="2"/>
      </w:pPr>
      <w:r>
        <w:rPr>
          <w:rFonts w:ascii="黑体" w:hAnsi="黑体" w:eastAsia="黑体"/>
          <w:sz w:val="32"/>
        </w:rPr>
        <w:t>二、机构设置及人员情况</w:t>
      </w:r>
    </w:p>
    <w:p w14:paraId="0BE6458A">
      <w:pPr>
        <w:spacing w:line="580" w:lineRule="exact"/>
        <w:ind w:firstLine="640"/>
        <w:jc w:val="both"/>
      </w:pPr>
      <w:r>
        <w:rPr>
          <w:rFonts w:ascii="仿宋_GB2312" w:hAnsi="仿宋_GB2312" w:eastAsia="仿宋_GB2312"/>
          <w:sz w:val="32"/>
        </w:rPr>
        <w:t>中共和硕县委员会直属机关工作委员会2024年度，实有人数6人，其中：在职人员3人，增加0人；离休人员0人，增加0人；退休人员3人,增加0人。</w:t>
      </w:r>
    </w:p>
    <w:p w14:paraId="2D0E9454">
      <w:pPr>
        <w:spacing w:line="580" w:lineRule="exact"/>
        <w:ind w:firstLine="640"/>
        <w:jc w:val="both"/>
      </w:pPr>
      <w:r>
        <w:rPr>
          <w:rFonts w:ascii="仿宋_GB2312" w:hAnsi="仿宋_GB2312" w:eastAsia="仿宋_GB2312"/>
          <w:sz w:val="32"/>
        </w:rPr>
        <w:t>中共和硕县委员会直属机关工作委员会无下属预算单位，下设1个科室，分别是：行政办公室。</w:t>
      </w:r>
    </w:p>
    <w:p w14:paraId="1B427825">
      <w:r>
        <w:br w:type="page"/>
      </w:r>
    </w:p>
    <w:p w14:paraId="702EA3E9">
      <w:pPr>
        <w:spacing w:line="240" w:lineRule="auto"/>
        <w:jc w:val="center"/>
        <w:outlineLvl w:val="1"/>
      </w:pPr>
      <w:r>
        <w:rPr>
          <w:rFonts w:ascii="黑体" w:hAnsi="黑体" w:eastAsia="黑体"/>
          <w:sz w:val="32"/>
        </w:rPr>
        <w:t>第二部分 部门决算情况说明</w:t>
      </w:r>
    </w:p>
    <w:p w14:paraId="32B87616">
      <w:pPr>
        <w:spacing w:line="640" w:lineRule="exact"/>
        <w:ind w:firstLine="640"/>
        <w:jc w:val="both"/>
        <w:outlineLvl w:val="2"/>
      </w:pPr>
      <w:r>
        <w:rPr>
          <w:rFonts w:ascii="黑体" w:hAnsi="黑体" w:eastAsia="黑体"/>
          <w:sz w:val="32"/>
        </w:rPr>
        <w:t>一、收入支出决算总体情况说明</w:t>
      </w:r>
    </w:p>
    <w:p w14:paraId="1BBB9A52">
      <w:pPr>
        <w:spacing w:line="580" w:lineRule="exact"/>
        <w:ind w:firstLine="640"/>
        <w:jc w:val="both"/>
      </w:pPr>
      <w:r>
        <w:rPr>
          <w:rFonts w:ascii="仿宋_GB2312" w:hAnsi="仿宋_GB2312" w:eastAsia="仿宋_GB2312"/>
          <w:b/>
          <w:sz w:val="32"/>
        </w:rPr>
        <w:t>2024年度收入总计78.86万元，</w:t>
      </w:r>
      <w:r>
        <w:rPr>
          <w:rFonts w:ascii="仿宋_GB2312" w:hAnsi="仿宋_GB2312" w:eastAsia="仿宋_GB2312"/>
          <w:b w:val="0"/>
          <w:sz w:val="32"/>
        </w:rPr>
        <w:t>其中：本年收入合计78.86万元，使用非财政拨款结余（含专用结余）0.00万元，年初结转和结余0.00万元。</w:t>
      </w:r>
    </w:p>
    <w:p w14:paraId="677116B3">
      <w:pPr>
        <w:spacing w:line="580" w:lineRule="exact"/>
        <w:ind w:firstLine="640"/>
        <w:jc w:val="both"/>
      </w:pPr>
      <w:r>
        <w:rPr>
          <w:rFonts w:ascii="仿宋_GB2312" w:hAnsi="仿宋_GB2312" w:eastAsia="仿宋_GB2312"/>
          <w:b/>
          <w:sz w:val="32"/>
        </w:rPr>
        <w:t>2024年度支出总计78.86万元，</w:t>
      </w:r>
      <w:r>
        <w:rPr>
          <w:rFonts w:ascii="仿宋_GB2312" w:hAnsi="仿宋_GB2312" w:eastAsia="仿宋_GB2312"/>
          <w:b w:val="0"/>
          <w:sz w:val="32"/>
        </w:rPr>
        <w:t>其中：本年支出合计78.86万元，结余分配0.00万元，年末结转和结余0.01万元。</w:t>
      </w:r>
    </w:p>
    <w:p w14:paraId="2A4943FF">
      <w:pPr>
        <w:spacing w:line="580" w:lineRule="exact"/>
        <w:ind w:firstLine="640"/>
        <w:jc w:val="both"/>
      </w:pPr>
      <w:r>
        <w:rPr>
          <w:rFonts w:ascii="仿宋_GB2312" w:hAnsi="仿宋_GB2312" w:eastAsia="仿宋_GB2312"/>
          <w:b w:val="0"/>
          <w:sz w:val="32"/>
        </w:rPr>
        <w:t>收入支出总体与上年相比，增加16.74万元，增长26.95%，主要原因是：本年新增五个好党支部经费，补发2023年考核优秀奖，支付会计代理记账费，人员及公用经费增加，本年收入支出增加。</w:t>
      </w:r>
    </w:p>
    <w:p w14:paraId="5CE5EAAF">
      <w:pPr>
        <w:spacing w:line="640" w:lineRule="exact"/>
        <w:ind w:firstLine="640"/>
        <w:jc w:val="both"/>
        <w:outlineLvl w:val="2"/>
      </w:pPr>
      <w:r>
        <w:rPr>
          <w:rFonts w:ascii="黑体" w:hAnsi="黑体" w:eastAsia="黑体"/>
          <w:sz w:val="32"/>
        </w:rPr>
        <w:t>二、收入决算情况说明</w:t>
      </w:r>
    </w:p>
    <w:p w14:paraId="351992EE">
      <w:pPr>
        <w:spacing w:line="580" w:lineRule="exact"/>
        <w:ind w:firstLine="640"/>
        <w:jc w:val="both"/>
      </w:pPr>
      <w:r>
        <w:rPr>
          <w:rFonts w:ascii="仿宋_GB2312" w:hAnsi="仿宋_GB2312" w:eastAsia="仿宋_GB2312"/>
          <w:b/>
          <w:sz w:val="32"/>
        </w:rPr>
        <w:t>本年收入78.86万元，</w:t>
      </w:r>
      <w:r>
        <w:rPr>
          <w:rFonts w:ascii="仿宋_GB2312" w:hAnsi="仿宋_GB2312" w:eastAsia="仿宋_GB2312"/>
          <w:b w:val="0"/>
          <w:sz w:val="32"/>
        </w:rPr>
        <w:t>其中：财政拨款收入78.86万元，占100.00%；上级补助收入0.00万元，占0.00%；事业收入0.00万元，占0.00%；经营收入0.00万元，占0.00%；附属单位上缴收入0.00万元，占0.00%；其他收入0.00万元，占0.00%。</w:t>
      </w:r>
    </w:p>
    <w:p w14:paraId="0C115343">
      <w:pPr>
        <w:spacing w:line="640" w:lineRule="exact"/>
        <w:ind w:firstLine="640"/>
        <w:jc w:val="both"/>
        <w:outlineLvl w:val="2"/>
      </w:pPr>
      <w:r>
        <w:rPr>
          <w:rFonts w:ascii="黑体" w:hAnsi="黑体" w:eastAsia="黑体"/>
          <w:sz w:val="32"/>
        </w:rPr>
        <w:t>三、支出决算情况说明</w:t>
      </w:r>
    </w:p>
    <w:p w14:paraId="7A0365C0">
      <w:pPr>
        <w:spacing w:line="580" w:lineRule="exact"/>
        <w:ind w:firstLine="640"/>
        <w:jc w:val="both"/>
      </w:pPr>
      <w:r>
        <w:rPr>
          <w:rFonts w:ascii="仿宋_GB2312" w:hAnsi="仿宋_GB2312" w:eastAsia="仿宋_GB2312"/>
          <w:b/>
          <w:sz w:val="32"/>
        </w:rPr>
        <w:t>本年支出78.86万元，</w:t>
      </w:r>
      <w:r>
        <w:rPr>
          <w:rFonts w:ascii="仿宋_GB2312" w:hAnsi="仿宋_GB2312" w:eastAsia="仿宋_GB2312"/>
          <w:b w:val="0"/>
          <w:sz w:val="32"/>
        </w:rPr>
        <w:t>其中：基本支出78.86万元，占100.00%；项目支出0.00万元，占0.00%；上缴上级支出0.00万元，占0.00%；经营支出0.00万元，占0.00%；对附属单位补助支出0.00万元，占0.00%。</w:t>
      </w:r>
    </w:p>
    <w:p w14:paraId="48776A7B">
      <w:pPr>
        <w:spacing w:line="640" w:lineRule="exact"/>
        <w:ind w:firstLine="640"/>
        <w:jc w:val="both"/>
        <w:outlineLvl w:val="2"/>
      </w:pPr>
      <w:r>
        <w:rPr>
          <w:rFonts w:ascii="黑体" w:hAnsi="黑体" w:eastAsia="黑体"/>
          <w:sz w:val="32"/>
        </w:rPr>
        <w:t>四、财政拨款收入支出决算总体情况说明</w:t>
      </w:r>
    </w:p>
    <w:p w14:paraId="290AABA9">
      <w:pPr>
        <w:spacing w:line="580" w:lineRule="exact"/>
        <w:ind w:firstLine="640"/>
        <w:jc w:val="both"/>
      </w:pPr>
      <w:r>
        <w:rPr>
          <w:rFonts w:ascii="仿宋_GB2312" w:hAnsi="仿宋_GB2312" w:eastAsia="仿宋_GB2312"/>
          <w:b/>
          <w:sz w:val="32"/>
        </w:rPr>
        <w:t>2024年度财政拨款收入总计78.86万元，</w:t>
      </w:r>
      <w:r>
        <w:rPr>
          <w:rFonts w:ascii="仿宋_GB2312" w:hAnsi="仿宋_GB2312" w:eastAsia="仿宋_GB2312"/>
          <w:b w:val="0"/>
          <w:sz w:val="32"/>
        </w:rPr>
        <w:t>其中：年初财政拨款结转和结余0.00万元，本年财政拨款收入78.86万元。</w:t>
      </w:r>
      <w:r>
        <w:rPr>
          <w:rFonts w:ascii="仿宋_GB2312" w:hAnsi="仿宋_GB2312" w:eastAsia="仿宋_GB2312"/>
          <w:b/>
          <w:sz w:val="32"/>
        </w:rPr>
        <w:t>财政拨款支出总计78.86万元，</w:t>
      </w:r>
      <w:r>
        <w:rPr>
          <w:rFonts w:ascii="仿宋_GB2312" w:hAnsi="仿宋_GB2312" w:eastAsia="仿宋_GB2312"/>
          <w:b w:val="0"/>
          <w:sz w:val="32"/>
        </w:rPr>
        <w:t>其中：年末财政拨款结转和结余0.00万元，本年财政拨款支出78.86万元。</w:t>
      </w:r>
    </w:p>
    <w:p w14:paraId="6D33D94A">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增加17.49万元，增长28.50%，主要原因是：本年新增五个好党支部经费，补发2023年考核优秀奖，支付会计代理记账费，人员及公用经费增加，本年财政拨款收入支出增加。</w:t>
      </w:r>
      <w:r>
        <w:rPr>
          <w:rFonts w:ascii="仿宋_GB2312" w:hAnsi="仿宋_GB2312" w:eastAsia="仿宋_GB2312"/>
          <w:b/>
          <w:sz w:val="32"/>
        </w:rPr>
        <w:t>与年初预算相比，</w:t>
      </w:r>
      <w:r>
        <w:rPr>
          <w:rFonts w:ascii="仿宋_GB2312" w:hAnsi="仿宋_GB2312" w:eastAsia="仿宋_GB2312"/>
          <w:b w:val="0"/>
          <w:sz w:val="32"/>
        </w:rPr>
        <w:t>年初预算数63.48万元，决算数78.86万元，预决算差异率24.23%，主要原因是：年中追加人员工资、社保、公积金基数调增部分资金，导致预决算存在差异。</w:t>
      </w:r>
    </w:p>
    <w:p w14:paraId="209A32D5">
      <w:pPr>
        <w:spacing w:line="640" w:lineRule="exact"/>
        <w:ind w:firstLine="640"/>
        <w:jc w:val="both"/>
        <w:outlineLvl w:val="2"/>
      </w:pPr>
      <w:r>
        <w:rPr>
          <w:rFonts w:ascii="黑体" w:hAnsi="黑体" w:eastAsia="黑体"/>
          <w:sz w:val="32"/>
        </w:rPr>
        <w:t>五、一般公共预算财政拨款支出决算情况说明</w:t>
      </w:r>
    </w:p>
    <w:p w14:paraId="3461F73E">
      <w:pPr>
        <w:spacing w:line="640" w:lineRule="exact"/>
        <w:ind w:firstLine="640"/>
        <w:jc w:val="both"/>
        <w:outlineLvl w:val="3"/>
      </w:pPr>
      <w:r>
        <w:rPr>
          <w:rFonts w:ascii="楷体_GB2312" w:hAnsi="楷体_GB2312" w:eastAsia="楷体_GB2312"/>
          <w:b/>
          <w:sz w:val="32"/>
        </w:rPr>
        <w:t>（一）一般公共预算财政拨款支出决算总体情况</w:t>
      </w:r>
    </w:p>
    <w:p w14:paraId="2FA831C0">
      <w:pPr>
        <w:spacing w:line="580" w:lineRule="exact"/>
        <w:ind w:firstLine="640"/>
        <w:jc w:val="both"/>
      </w:pPr>
      <w:r>
        <w:rPr>
          <w:rFonts w:ascii="仿宋_GB2312" w:hAnsi="仿宋_GB2312" w:eastAsia="仿宋_GB2312"/>
          <w:b/>
          <w:sz w:val="32"/>
        </w:rPr>
        <w:t>2024年度一般公共预算财政拨款支出78.86万元，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增加17.49万元，增长28.50%，主要原因是：本年新增五个好党支部经费，补发2023年考核优秀奖，支付会计代理记账费，人员及公用经费增加，本年财政拨款收入支出增加。</w:t>
      </w:r>
      <w:r>
        <w:rPr>
          <w:rFonts w:ascii="仿宋_GB2312" w:hAnsi="仿宋_GB2312" w:eastAsia="仿宋_GB2312"/>
          <w:b/>
          <w:sz w:val="32"/>
        </w:rPr>
        <w:t>与年初预算相比,</w:t>
      </w:r>
      <w:r>
        <w:rPr>
          <w:rFonts w:ascii="仿宋_GB2312" w:hAnsi="仿宋_GB2312" w:eastAsia="仿宋_GB2312"/>
          <w:b w:val="0"/>
          <w:sz w:val="32"/>
        </w:rPr>
        <w:t>年初预算数63.48万元，决算数78.86万元，预决算差异率24.23%，主要原因是：年中追加人员工资、社保、公积金基数调增部分资金，导致预决算存在差异。</w:t>
      </w:r>
    </w:p>
    <w:p w14:paraId="0E830CA5">
      <w:pPr>
        <w:spacing w:line="640" w:lineRule="exact"/>
        <w:ind w:firstLine="640"/>
        <w:jc w:val="both"/>
        <w:outlineLvl w:val="3"/>
      </w:pPr>
      <w:r>
        <w:rPr>
          <w:rFonts w:ascii="楷体_GB2312" w:hAnsi="楷体_GB2312" w:eastAsia="楷体_GB2312"/>
          <w:b/>
          <w:sz w:val="32"/>
        </w:rPr>
        <w:t>（二）一般公共预算财政拨款支出决算结构情况</w:t>
      </w:r>
    </w:p>
    <w:p w14:paraId="10ACF54F">
      <w:pPr>
        <w:spacing w:line="580" w:lineRule="exact"/>
        <w:ind w:firstLine="640"/>
        <w:jc w:val="both"/>
      </w:pPr>
      <w:r>
        <w:rPr>
          <w:rFonts w:ascii="仿宋_GB2312" w:hAnsi="仿宋_GB2312" w:eastAsia="仿宋_GB2312"/>
          <w:b w:val="0"/>
          <w:sz w:val="32"/>
        </w:rPr>
        <w:t>1.一般公共服务支出(类)52.92万元,占67.11%。</w:t>
      </w:r>
    </w:p>
    <w:p w14:paraId="40D6B2B6">
      <w:pPr>
        <w:spacing w:line="580" w:lineRule="exact"/>
        <w:ind w:firstLine="640"/>
        <w:jc w:val="both"/>
      </w:pPr>
      <w:r>
        <w:rPr>
          <w:rFonts w:ascii="仿宋_GB2312" w:hAnsi="仿宋_GB2312" w:eastAsia="仿宋_GB2312"/>
          <w:b w:val="0"/>
          <w:sz w:val="32"/>
        </w:rPr>
        <w:t>2.教育支出(类)0.18万元,占0.23%。</w:t>
      </w:r>
    </w:p>
    <w:p w14:paraId="7AE0463E">
      <w:pPr>
        <w:spacing w:line="580" w:lineRule="exact"/>
        <w:ind w:firstLine="640"/>
        <w:jc w:val="both"/>
      </w:pPr>
      <w:r>
        <w:rPr>
          <w:rFonts w:ascii="仿宋_GB2312" w:hAnsi="仿宋_GB2312" w:eastAsia="仿宋_GB2312"/>
          <w:b w:val="0"/>
          <w:sz w:val="32"/>
        </w:rPr>
        <w:t>3.社会保障和就业支出(类)16.28万元,占20.64%。</w:t>
      </w:r>
    </w:p>
    <w:p w14:paraId="1085607F">
      <w:pPr>
        <w:spacing w:line="580" w:lineRule="exact"/>
        <w:ind w:firstLine="640"/>
        <w:jc w:val="both"/>
      </w:pPr>
      <w:r>
        <w:rPr>
          <w:rFonts w:ascii="仿宋_GB2312" w:hAnsi="仿宋_GB2312" w:eastAsia="仿宋_GB2312"/>
          <w:b w:val="0"/>
          <w:sz w:val="32"/>
        </w:rPr>
        <w:t>4.卫生健康支出(类)4.15万元,占5.26%。</w:t>
      </w:r>
    </w:p>
    <w:p w14:paraId="30E8EC30">
      <w:pPr>
        <w:spacing w:line="580" w:lineRule="exact"/>
        <w:ind w:firstLine="640"/>
        <w:jc w:val="both"/>
      </w:pPr>
      <w:r>
        <w:rPr>
          <w:rFonts w:ascii="仿宋_GB2312" w:hAnsi="仿宋_GB2312" w:eastAsia="仿宋_GB2312"/>
          <w:b w:val="0"/>
          <w:sz w:val="32"/>
        </w:rPr>
        <w:t>5.住房保障支出(类)5.33万元,占6.76%。</w:t>
      </w:r>
    </w:p>
    <w:p w14:paraId="7C37D0B5">
      <w:pPr>
        <w:spacing w:line="640" w:lineRule="exact"/>
        <w:ind w:firstLine="640"/>
        <w:jc w:val="both"/>
        <w:outlineLvl w:val="3"/>
      </w:pPr>
      <w:r>
        <w:rPr>
          <w:rFonts w:ascii="楷体_GB2312" w:hAnsi="楷体_GB2312" w:eastAsia="楷体_GB2312"/>
          <w:b/>
          <w:sz w:val="32"/>
        </w:rPr>
        <w:t>（三）一般公共预算财政拨款支出决算具体情况</w:t>
      </w:r>
    </w:p>
    <w:p w14:paraId="759936B4">
      <w:pPr>
        <w:spacing w:line="580" w:lineRule="exact"/>
        <w:ind w:firstLine="640"/>
        <w:jc w:val="both"/>
      </w:pPr>
      <w:r>
        <w:rPr>
          <w:rFonts w:ascii="仿宋_GB2312" w:hAnsi="仿宋_GB2312" w:eastAsia="仿宋_GB2312"/>
          <w:b w:val="0"/>
          <w:sz w:val="32"/>
        </w:rPr>
        <w:t>1.一般公共服务支出(类)其他共产党事务支出(款)行政运行(项):支出决算数为49.92万元，比上年决算增加1.32万元，增长2.72%,主要原因是：本年新增五个好党支部经费，补发2023年考核优秀奖，人员及公用经费增加。</w:t>
      </w:r>
    </w:p>
    <w:p w14:paraId="217D8E44">
      <w:pPr>
        <w:spacing w:line="580" w:lineRule="exact"/>
        <w:ind w:firstLine="640"/>
        <w:jc w:val="both"/>
      </w:pPr>
      <w:r>
        <w:rPr>
          <w:rFonts w:ascii="仿宋_GB2312" w:hAnsi="仿宋_GB2312" w:eastAsia="仿宋_GB2312"/>
          <w:b w:val="0"/>
          <w:sz w:val="32"/>
        </w:rPr>
        <w:t>2.一般公共服务支出(类)其他共产党事务支出(款)其他共产党事务支出(项):支出决算数为3.00万元，比上年决算增加3.00万元，增长100.00%,主要原因是：本年功能科目调整，会计代理记账服务费上年在主科目列支，本年单独列支，导致经费较上年增加。</w:t>
      </w:r>
    </w:p>
    <w:p w14:paraId="717E980A">
      <w:pPr>
        <w:spacing w:line="580" w:lineRule="exact"/>
        <w:ind w:firstLine="640"/>
        <w:jc w:val="both"/>
      </w:pPr>
      <w:r>
        <w:rPr>
          <w:rFonts w:ascii="仿宋_GB2312" w:hAnsi="仿宋_GB2312" w:eastAsia="仿宋_GB2312"/>
          <w:b w:val="0"/>
          <w:sz w:val="32"/>
        </w:rPr>
        <w:t>3.教育支出(类)进修及培训(款)培训支出(项):支出决算数为0.18万元，比上年决算增加0.18万元，增长100.00%,主要原因是：本年度新增培训工作，故培训费增加。</w:t>
      </w:r>
    </w:p>
    <w:p w14:paraId="5AF4F37B">
      <w:pPr>
        <w:spacing w:line="580" w:lineRule="exact"/>
        <w:ind w:firstLine="640"/>
        <w:jc w:val="both"/>
      </w:pPr>
      <w:r>
        <w:rPr>
          <w:rFonts w:ascii="仿宋_GB2312" w:hAnsi="仿宋_GB2312" w:eastAsia="仿宋_GB2312"/>
          <w:b w:val="0"/>
          <w:sz w:val="32"/>
        </w:rPr>
        <w:t>4.社会保障和就业支出(类)民政管理事务(款)基层政权建设和社区治理(项):支出决算数为7.46万元，比上年决算增加7.46万元，增长100.00%,主要原因是：本年新增五个好党支部经费，导致经费较上年增加。</w:t>
      </w:r>
    </w:p>
    <w:p w14:paraId="55CD8048">
      <w:pPr>
        <w:spacing w:line="580" w:lineRule="exact"/>
        <w:ind w:firstLine="640"/>
        <w:jc w:val="both"/>
      </w:pPr>
      <w:r>
        <w:rPr>
          <w:rFonts w:ascii="仿宋_GB2312" w:hAnsi="仿宋_GB2312" w:eastAsia="仿宋_GB2312"/>
          <w:b w:val="0"/>
          <w:sz w:val="32"/>
        </w:rPr>
        <w:t>5.社会保障和就业支出(类)行政事业单位养老支出(款)行政单位离退休(项):支出决算数为2.36万元，比上年决算增加0.63万元，增长36.42%,主要原因是：本年增加退休人员基础绩效奖，退休费支出增加。</w:t>
      </w:r>
    </w:p>
    <w:p w14:paraId="483E291C">
      <w:pPr>
        <w:spacing w:line="580" w:lineRule="exact"/>
        <w:ind w:firstLine="640"/>
        <w:jc w:val="both"/>
      </w:pPr>
      <w:r>
        <w:rPr>
          <w:rFonts w:ascii="仿宋_GB2312" w:hAnsi="仿宋_GB2312" w:eastAsia="仿宋_GB2312"/>
          <w:b w:val="0"/>
          <w:sz w:val="32"/>
        </w:rPr>
        <w:t>6.社会保障和就业支出(类)行政事业单位养老支出(款)机关事业单位基本养老保险缴费支出(项):支出决算数为6.46万元，比上年决算增加1.91万元，增长41.98%,主要原因是：人员工资基数调增，养老缴费基数上涨，机关事业单位基本养老保险缴费支出增加。</w:t>
      </w:r>
    </w:p>
    <w:p w14:paraId="65B0EB25">
      <w:pPr>
        <w:spacing w:line="580" w:lineRule="exact"/>
        <w:ind w:firstLine="640"/>
        <w:jc w:val="both"/>
      </w:pPr>
      <w:r>
        <w:rPr>
          <w:rFonts w:ascii="仿宋_GB2312" w:hAnsi="仿宋_GB2312" w:eastAsia="仿宋_GB2312"/>
          <w:b w:val="0"/>
          <w:sz w:val="32"/>
        </w:rPr>
        <w:t>7.卫生健康支出(类)行政事业单位医疗(款)行政单位医疗(项):支出决算数为2.83万元，比上年决算增加0.77万元，增长37.38%,主要原因是：人员工资基数调增，行政单位医疗缴费基数上涨，行政事业单位医疗支出增加。</w:t>
      </w:r>
    </w:p>
    <w:p w14:paraId="5E238418">
      <w:pPr>
        <w:spacing w:line="580" w:lineRule="exact"/>
        <w:ind w:firstLine="640"/>
        <w:jc w:val="both"/>
      </w:pPr>
      <w:r>
        <w:rPr>
          <w:rFonts w:ascii="仿宋_GB2312" w:hAnsi="仿宋_GB2312" w:eastAsia="仿宋_GB2312"/>
          <w:b w:val="0"/>
          <w:sz w:val="32"/>
        </w:rPr>
        <w:t>8.卫生健康支出(类)行政事业单位医疗(款)公务员医疗补助(项):支出决算数为1.21万元，比上年决算增加0.43万元，增长55.13%,主要原因是：本年在职人员工资基数调增，医疗缴费基数上涨，相应支出增加。</w:t>
      </w:r>
    </w:p>
    <w:p w14:paraId="69D4530E">
      <w:pPr>
        <w:spacing w:line="580" w:lineRule="exact"/>
        <w:ind w:firstLine="640"/>
        <w:jc w:val="both"/>
      </w:pPr>
      <w:r>
        <w:rPr>
          <w:rFonts w:ascii="仿宋_GB2312" w:hAnsi="仿宋_GB2312" w:eastAsia="仿宋_GB2312"/>
          <w:b w:val="0"/>
          <w:sz w:val="32"/>
        </w:rPr>
        <w:t>9.卫生健康支出(类)行政事业单位医疗(款)其他行政事业单位医疗支出(项):支出决算数为0.11万元，比上年决算减少0.03万元，下降21.43%,主要原因是：退休人员医疗保险制度改革，退休人员不再缴纳医疗，其他行政事业单位医疗支出减少。</w:t>
      </w:r>
    </w:p>
    <w:p w14:paraId="4EDCFAA7">
      <w:pPr>
        <w:spacing w:line="580" w:lineRule="exact"/>
        <w:ind w:firstLine="640"/>
        <w:jc w:val="both"/>
      </w:pPr>
      <w:r>
        <w:rPr>
          <w:rFonts w:ascii="仿宋_GB2312" w:hAnsi="仿宋_GB2312" w:eastAsia="仿宋_GB2312"/>
          <w:b w:val="0"/>
          <w:sz w:val="32"/>
        </w:rPr>
        <w:t>10.住房保障支出(类)住房改革支出(款)住房公积金(项):支出决算数为5.33万元，比上年决算增加1.82万元，增长51.85%,主要原因是：本年在职人员工资基数调增，公积金缴费基数上涨，相应支出增加。</w:t>
      </w:r>
    </w:p>
    <w:p w14:paraId="0B6B636B">
      <w:pPr>
        <w:spacing w:line="640" w:lineRule="exact"/>
        <w:ind w:firstLine="640"/>
        <w:jc w:val="both"/>
        <w:outlineLvl w:val="2"/>
      </w:pPr>
      <w:r>
        <w:rPr>
          <w:rFonts w:ascii="黑体" w:hAnsi="黑体" w:eastAsia="黑体"/>
          <w:sz w:val="32"/>
        </w:rPr>
        <w:t>六、一般公共预算财政拨款基本支出决算情况说明</w:t>
      </w:r>
    </w:p>
    <w:p w14:paraId="2B72ECE9">
      <w:pPr>
        <w:spacing w:line="580" w:lineRule="exact"/>
        <w:ind w:firstLine="640"/>
        <w:jc w:val="both"/>
      </w:pPr>
      <w:r>
        <w:rPr>
          <w:rFonts w:ascii="仿宋_GB2312" w:hAnsi="仿宋_GB2312" w:eastAsia="仿宋_GB2312"/>
          <w:b w:val="0"/>
          <w:sz w:val="32"/>
        </w:rPr>
        <w:t>2024年度一般公共预算财政拨款基本支出78.86万元，其中：</w:t>
      </w:r>
      <w:r>
        <w:rPr>
          <w:rFonts w:ascii="仿宋_GB2312" w:hAnsi="仿宋_GB2312" w:eastAsia="仿宋_GB2312"/>
          <w:b/>
          <w:sz w:val="32"/>
        </w:rPr>
        <w:t>人员经费66.51万元，</w:t>
      </w:r>
      <w:r>
        <w:rPr>
          <w:rFonts w:ascii="仿宋_GB2312" w:hAnsi="仿宋_GB2312" w:eastAsia="仿宋_GB2312"/>
          <w:b w:val="0"/>
          <w:sz w:val="32"/>
        </w:rPr>
        <w:t>包括：基本工资、津贴补贴、奖金、机关事业单位基本养老保险缴费、职工基本医疗保险缴费、公务员医疗补助缴费、其他社会保障缴费、住房公积金、其他工资福利支出、退休费、奖励金。</w:t>
      </w:r>
    </w:p>
    <w:p w14:paraId="67D068AC">
      <w:pPr>
        <w:spacing w:line="580" w:lineRule="exact"/>
        <w:ind w:firstLine="640"/>
        <w:jc w:val="both"/>
      </w:pPr>
      <w:r>
        <w:rPr>
          <w:rFonts w:ascii="仿宋_GB2312" w:hAnsi="仿宋_GB2312" w:eastAsia="仿宋_GB2312"/>
          <w:b/>
          <w:sz w:val="32"/>
        </w:rPr>
        <w:t>公用经费12.35万元，</w:t>
      </w:r>
      <w:r>
        <w:rPr>
          <w:rFonts w:ascii="仿宋_GB2312" w:hAnsi="仿宋_GB2312" w:eastAsia="仿宋_GB2312"/>
          <w:b w:val="0"/>
          <w:sz w:val="32"/>
        </w:rPr>
        <w:t>包括：办公费、水费、电费、邮电费、培训费、劳务费、工会经费。</w:t>
      </w:r>
    </w:p>
    <w:p w14:paraId="38685D7D">
      <w:pPr>
        <w:spacing w:line="640" w:lineRule="exact"/>
        <w:ind w:firstLine="640"/>
        <w:jc w:val="both"/>
        <w:outlineLvl w:val="2"/>
      </w:pPr>
      <w:r>
        <w:rPr>
          <w:rFonts w:ascii="黑体" w:hAnsi="黑体" w:eastAsia="黑体"/>
          <w:sz w:val="32"/>
        </w:rPr>
        <w:t>七、政府性基金预算财政拨款收入支出决算情况说明</w:t>
      </w:r>
    </w:p>
    <w:p w14:paraId="5C75644D">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4EBA8E82">
      <w:pPr>
        <w:spacing w:line="640" w:lineRule="exact"/>
        <w:ind w:firstLine="640"/>
        <w:jc w:val="both"/>
        <w:outlineLvl w:val="2"/>
      </w:pPr>
      <w:r>
        <w:rPr>
          <w:rFonts w:ascii="黑体" w:hAnsi="黑体" w:eastAsia="黑体"/>
          <w:sz w:val="32"/>
        </w:rPr>
        <w:t>八、国有资本经营预算财政拨款收入支出决算情况说明</w:t>
      </w:r>
    </w:p>
    <w:p w14:paraId="5A53DACA">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1F1C900">
      <w:pPr>
        <w:spacing w:line="640" w:lineRule="exact"/>
        <w:ind w:firstLine="640"/>
        <w:jc w:val="both"/>
        <w:outlineLvl w:val="2"/>
      </w:pPr>
      <w:r>
        <w:rPr>
          <w:rFonts w:ascii="黑体" w:hAnsi="黑体" w:eastAsia="黑体"/>
          <w:sz w:val="32"/>
        </w:rPr>
        <w:t>九、财政拨款“三公”经费支出决算情况说明</w:t>
      </w:r>
    </w:p>
    <w:p w14:paraId="236DCA30">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4A6B43BD">
      <w:pPr>
        <w:spacing w:line="580" w:lineRule="exact"/>
        <w:ind w:firstLine="640"/>
        <w:jc w:val="both"/>
      </w:pPr>
      <w:r>
        <w:rPr>
          <w:rFonts w:ascii="仿宋_GB2312" w:hAnsi="仿宋_GB2312" w:eastAsia="仿宋_GB2312"/>
          <w:b/>
          <w:sz w:val="32"/>
        </w:rPr>
        <w:t>具体情况如下：</w:t>
      </w:r>
    </w:p>
    <w:p w14:paraId="6DDAAF3D">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6FEEFA2">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4CA7EBB7">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75E11892">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75E968AE">
      <w:pPr>
        <w:spacing w:line="640" w:lineRule="exact"/>
        <w:ind w:firstLine="640"/>
        <w:jc w:val="both"/>
        <w:outlineLvl w:val="2"/>
      </w:pPr>
      <w:r>
        <w:rPr>
          <w:rFonts w:ascii="黑体" w:hAnsi="黑体" w:eastAsia="黑体"/>
          <w:sz w:val="32"/>
        </w:rPr>
        <w:t>十、其他重要事项的情况说明</w:t>
      </w:r>
    </w:p>
    <w:p w14:paraId="39507A3B">
      <w:pPr>
        <w:spacing w:line="640" w:lineRule="exact"/>
        <w:ind w:firstLine="640"/>
        <w:jc w:val="both"/>
        <w:outlineLvl w:val="3"/>
      </w:pPr>
      <w:r>
        <w:rPr>
          <w:rFonts w:ascii="楷体_GB2312" w:hAnsi="楷体_GB2312" w:eastAsia="楷体_GB2312"/>
          <w:b/>
          <w:sz w:val="32"/>
        </w:rPr>
        <w:t>（一）机关运行经费及公用经费支出情况</w:t>
      </w:r>
    </w:p>
    <w:p w14:paraId="0DEC9368">
      <w:pPr>
        <w:spacing w:line="580" w:lineRule="exact"/>
        <w:ind w:firstLine="640"/>
        <w:jc w:val="both"/>
      </w:pPr>
      <w:r>
        <w:rPr>
          <w:rFonts w:ascii="仿宋_GB2312" w:hAnsi="仿宋_GB2312" w:eastAsia="仿宋_GB2312"/>
          <w:b w:val="0"/>
          <w:sz w:val="32"/>
        </w:rPr>
        <w:t>2024年度中共和硕县委员会直属机关工作委员会（行政单位和参照公务员法管理事业单位）机关运行经费支出12.35万元，比上年增加6.58万元，增长114.04%，主要原因是：本年度本单位新增五个好党支部活动经费，办公费、印刷费、培训费较上年增加，导致本年机关运行经费支出较上年增加。</w:t>
      </w:r>
    </w:p>
    <w:p w14:paraId="08F189F7">
      <w:pPr>
        <w:spacing w:line="640" w:lineRule="exact"/>
        <w:ind w:firstLine="640"/>
        <w:jc w:val="both"/>
        <w:outlineLvl w:val="3"/>
      </w:pPr>
      <w:r>
        <w:rPr>
          <w:rFonts w:ascii="楷体_GB2312" w:hAnsi="楷体_GB2312" w:eastAsia="楷体_GB2312"/>
          <w:b/>
          <w:sz w:val="32"/>
        </w:rPr>
        <w:t>（二）政府采购情况</w:t>
      </w:r>
    </w:p>
    <w:p w14:paraId="09B5E08C">
      <w:pPr>
        <w:spacing w:line="580" w:lineRule="exact"/>
        <w:ind w:firstLine="640"/>
        <w:jc w:val="both"/>
      </w:pPr>
      <w:r>
        <w:rPr>
          <w:rFonts w:ascii="仿宋_GB2312" w:hAnsi="仿宋_GB2312" w:eastAsia="仿宋_GB2312"/>
          <w:b w:val="0"/>
          <w:sz w:val="32"/>
        </w:rPr>
        <w:t>2024年度政府采购支出总额0.89万元，其中：政府采购货物支出0.89万元、政府采购工程支出0.00万元、政府采购服务支出0.00万元。</w:t>
      </w:r>
    </w:p>
    <w:p w14:paraId="00623BDA">
      <w:pPr>
        <w:spacing w:line="580" w:lineRule="exact"/>
        <w:ind w:firstLine="640"/>
        <w:jc w:val="both"/>
      </w:pPr>
      <w:r>
        <w:rPr>
          <w:rFonts w:ascii="仿宋_GB2312" w:hAnsi="仿宋_GB2312" w:eastAsia="仿宋_GB2312"/>
          <w:b w:val="0"/>
          <w:sz w:val="32"/>
        </w:rPr>
        <w:t>授予中小企业合同金额0.89万元，占政府采购支出总额的100.00%，其中：授予小微企业合同金额0.89万元，占政府采购支出总额的100.00%。</w:t>
      </w:r>
    </w:p>
    <w:p w14:paraId="18E011D1">
      <w:pPr>
        <w:spacing w:line="640" w:lineRule="exact"/>
        <w:ind w:firstLine="640"/>
        <w:jc w:val="both"/>
        <w:outlineLvl w:val="3"/>
      </w:pPr>
      <w:r>
        <w:rPr>
          <w:rFonts w:ascii="楷体_GB2312" w:hAnsi="楷体_GB2312" w:eastAsia="楷体_GB2312"/>
          <w:b/>
          <w:sz w:val="32"/>
        </w:rPr>
        <w:t>（三）国有资产占用情况说明</w:t>
      </w:r>
    </w:p>
    <w:p w14:paraId="7E231DE0">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17D28D20">
      <w:pPr>
        <w:spacing w:line="640" w:lineRule="exact"/>
        <w:ind w:firstLine="640"/>
        <w:jc w:val="both"/>
        <w:outlineLvl w:val="2"/>
      </w:pPr>
      <w:r>
        <w:rPr>
          <w:rFonts w:ascii="黑体" w:hAnsi="黑体" w:eastAsia="黑体"/>
          <w:sz w:val="32"/>
        </w:rPr>
        <w:t>十一、预算绩效的情况说明</w:t>
      </w:r>
    </w:p>
    <w:p w14:paraId="1E2A6611">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78.86万元，实际执行总额78.86万元；预算绩效评价项目0个，全年预算数0.00万元，全年执行数0.00万元。预算绩效管理取得的成效：本单位无预算绩效项目。发现的问题及原因：本单位无预算绩效项目。下一步改进措施：本单位无预算绩效项目。具体附整体支出绩效自评表。</w:t>
      </w:r>
    </w:p>
    <w:p w14:paraId="3068F508">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262A522C">
        <w:tblPrEx>
          <w:tblCellMar>
            <w:top w:w="0" w:type="dxa"/>
            <w:left w:w="108" w:type="dxa"/>
            <w:bottom w:w="0" w:type="dxa"/>
            <w:right w:w="108" w:type="dxa"/>
          </w:tblCellMar>
        </w:tblPrEx>
        <w:tc>
          <w:tcPr>
            <w:tcW w:w="8840" w:type="dxa"/>
            <w:gridSpan w:val="8"/>
            <w:vAlign w:val="center"/>
          </w:tcPr>
          <w:p w14:paraId="22BB14CF">
            <w:pPr>
              <w:jc w:val="center"/>
            </w:pPr>
            <w:r>
              <w:rPr>
                <w:rFonts w:ascii="宋体" w:hAnsi="宋体" w:eastAsia="宋体"/>
                <w:sz w:val="24"/>
              </w:rPr>
              <w:t>单位整体支出绩效自评表</w:t>
            </w:r>
          </w:p>
        </w:tc>
      </w:tr>
      <w:tr w14:paraId="3F249ECF">
        <w:tblPrEx>
          <w:tblCellMar>
            <w:top w:w="0" w:type="dxa"/>
            <w:left w:w="108" w:type="dxa"/>
            <w:bottom w:w="0" w:type="dxa"/>
            <w:right w:w="108" w:type="dxa"/>
          </w:tblCellMar>
        </w:tblPrEx>
        <w:tc>
          <w:tcPr>
            <w:tcW w:w="8840" w:type="dxa"/>
            <w:gridSpan w:val="8"/>
            <w:vAlign w:val="center"/>
          </w:tcPr>
          <w:p w14:paraId="6E14F4E6">
            <w:pPr>
              <w:jc w:val="center"/>
            </w:pPr>
            <w:r>
              <w:rPr>
                <w:rFonts w:ascii="宋体" w:hAnsi="宋体" w:eastAsia="宋体"/>
                <w:sz w:val="24"/>
              </w:rPr>
              <w:t>（2024年度）</w:t>
            </w:r>
          </w:p>
        </w:tc>
      </w:tr>
      <w:tr w14:paraId="09B9B74B">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D74787">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7BA809">
            <w:pPr>
              <w:jc w:val="center"/>
            </w:pPr>
            <w:r>
              <w:rPr>
                <w:rFonts w:ascii="宋体" w:hAnsi="宋体" w:eastAsia="宋体"/>
                <w:sz w:val="16"/>
              </w:rPr>
              <w:t>中共和硕县委员会直属机关工作委员会</w:t>
            </w:r>
          </w:p>
        </w:tc>
      </w:tr>
      <w:tr w14:paraId="184EC931">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7FA17B">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69A3DE">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F7581A">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8F08A4">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558B2E">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B9A41D">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B782B5">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A2242D">
            <w:pPr>
              <w:jc w:val="center"/>
            </w:pPr>
            <w:r>
              <w:rPr>
                <w:rFonts w:ascii="宋体" w:hAnsi="宋体" w:eastAsia="宋体"/>
                <w:sz w:val="16"/>
              </w:rPr>
              <w:t>得分</w:t>
            </w:r>
          </w:p>
        </w:tc>
      </w:tr>
      <w:tr w14:paraId="13B93CA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905FAF5"/>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52CF80">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99B23D">
            <w:pPr>
              <w:jc w:val="center"/>
            </w:pPr>
            <w:r>
              <w:rPr>
                <w:rFonts w:ascii="宋体" w:hAnsi="宋体" w:eastAsia="宋体"/>
                <w:sz w:val="16"/>
              </w:rPr>
              <w:t>63.48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ECA795">
            <w:pPr>
              <w:jc w:val="center"/>
            </w:pPr>
            <w:r>
              <w:rPr>
                <w:rFonts w:ascii="宋体" w:hAnsi="宋体" w:eastAsia="宋体"/>
                <w:sz w:val="16"/>
              </w:rPr>
              <w:t>78.86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FDACD9">
            <w:pPr>
              <w:jc w:val="center"/>
            </w:pPr>
            <w:r>
              <w:rPr>
                <w:rFonts w:ascii="宋体" w:hAnsi="宋体" w:eastAsia="宋体"/>
                <w:sz w:val="16"/>
              </w:rPr>
              <w:t>78.86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8D90FE">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8951CC">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7550C4">
            <w:pPr>
              <w:jc w:val="center"/>
            </w:pPr>
            <w:r>
              <w:rPr>
                <w:rFonts w:ascii="宋体" w:hAnsi="宋体" w:eastAsia="宋体"/>
                <w:sz w:val="16"/>
              </w:rPr>
              <w:t>10</w:t>
            </w:r>
          </w:p>
        </w:tc>
      </w:tr>
      <w:tr w14:paraId="7E499EE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9503C1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885660">
            <w:pPr>
              <w:jc w:val="center"/>
            </w:pPr>
            <w:r>
              <w:rPr>
                <w:rFonts w:ascii="宋体" w:hAnsi="宋体" w:eastAsia="宋体"/>
                <w:sz w:val="16"/>
              </w:rPr>
              <w:t>其中:上级安排（万元）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60A9B3">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403D80">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3B51F1">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B6876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CCCF6A">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97B4D9">
            <w:pPr>
              <w:jc w:val="center"/>
            </w:pPr>
            <w:r>
              <w:rPr>
                <w:rFonts w:ascii="宋体" w:hAnsi="宋体" w:eastAsia="宋体"/>
                <w:sz w:val="16"/>
              </w:rPr>
              <w:t>-</w:t>
            </w:r>
          </w:p>
        </w:tc>
      </w:tr>
      <w:tr w14:paraId="03D9540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25BCE9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9C82BD">
            <w:pPr>
              <w:jc w:val="center"/>
            </w:pPr>
            <w:r>
              <w:rPr>
                <w:rFonts w:ascii="宋体" w:hAnsi="宋体" w:eastAsia="宋体"/>
                <w:sz w:val="16"/>
              </w:rPr>
              <w:t>本级安排（万元）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1172CE">
            <w:pPr>
              <w:jc w:val="center"/>
            </w:pPr>
            <w:r>
              <w:rPr>
                <w:rFonts w:ascii="宋体" w:hAnsi="宋体" w:eastAsia="宋体"/>
                <w:sz w:val="16"/>
              </w:rPr>
              <w:t>63.48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8C1CDD">
            <w:pPr>
              <w:jc w:val="center"/>
            </w:pPr>
            <w:r>
              <w:rPr>
                <w:rFonts w:ascii="宋体" w:hAnsi="宋体" w:eastAsia="宋体"/>
                <w:sz w:val="16"/>
              </w:rPr>
              <w:t>78.86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7F8D5F">
            <w:pPr>
              <w:jc w:val="center"/>
            </w:pPr>
            <w:r>
              <w:rPr>
                <w:rFonts w:ascii="宋体" w:hAnsi="宋体" w:eastAsia="宋体"/>
                <w:sz w:val="16"/>
              </w:rPr>
              <w:t>78.86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7E161C">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EFF6E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7B1347">
            <w:pPr>
              <w:jc w:val="center"/>
            </w:pPr>
            <w:r>
              <w:rPr>
                <w:rFonts w:ascii="宋体" w:hAnsi="宋体" w:eastAsia="宋体"/>
                <w:sz w:val="16"/>
              </w:rPr>
              <w:t>-</w:t>
            </w:r>
          </w:p>
        </w:tc>
      </w:tr>
      <w:tr w14:paraId="1273B4D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0EF4C9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79FC1D">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AC6D5A">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283870">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3F5A6D">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6F20D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9FBAD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E4E971">
            <w:pPr>
              <w:jc w:val="center"/>
            </w:pPr>
            <w:r>
              <w:rPr>
                <w:rFonts w:ascii="宋体" w:hAnsi="宋体" w:eastAsia="宋体"/>
                <w:sz w:val="16"/>
              </w:rPr>
              <w:t>-</w:t>
            </w:r>
          </w:p>
        </w:tc>
      </w:tr>
      <w:tr w14:paraId="7BD1C810">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3C33A2">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656E9EB">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BDB4C21">
            <w:pPr>
              <w:jc w:val="center"/>
            </w:pPr>
            <w:r>
              <w:rPr>
                <w:rFonts w:ascii="宋体" w:hAnsi="宋体" w:eastAsia="宋体"/>
                <w:sz w:val="16"/>
              </w:rPr>
              <w:t>实际完成情况</w:t>
            </w:r>
          </w:p>
        </w:tc>
      </w:tr>
      <w:tr w14:paraId="517B633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3967AD3"/>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66709B9">
            <w:pPr>
              <w:jc w:val="both"/>
            </w:pPr>
            <w:r>
              <w:rPr>
                <w:rFonts w:ascii="宋体" w:hAnsi="宋体" w:eastAsia="宋体"/>
                <w:sz w:val="16"/>
              </w:rPr>
              <w:t>为认真贯彻落实习近平总书记关于“</w:t>
            </w:r>
            <w:r>
              <w:rPr>
                <w:rFonts w:hint="eastAsia" w:ascii="宋体" w:hAnsi="宋体"/>
                <w:sz w:val="16"/>
                <w:lang w:eastAsia="zh-CN"/>
              </w:rPr>
              <w:t>建设</w:t>
            </w:r>
            <w:r>
              <w:rPr>
                <w:rFonts w:ascii="宋体" w:hAnsi="宋体" w:eastAsia="宋体"/>
                <w:sz w:val="16"/>
              </w:rPr>
              <w:t>让党中央放心</w:t>
            </w:r>
            <w:r>
              <w:rPr>
                <w:rFonts w:hint="eastAsia" w:ascii="宋体" w:hAnsi="宋体"/>
                <w:sz w:val="16"/>
                <w:lang w:eastAsia="zh-CN"/>
              </w:rPr>
              <w:t>，</w:t>
            </w:r>
            <w:r>
              <w:rPr>
                <w:rFonts w:ascii="宋体" w:hAnsi="宋体" w:eastAsia="宋体"/>
                <w:sz w:val="16"/>
              </w:rPr>
              <w:t>让人民群众满意的模范机关”重要指示精神，根据《中共中央关于加强党的政治建设的意见》《</w:t>
            </w:r>
            <w:r>
              <w:rPr>
                <w:rFonts w:hint="eastAsia" w:ascii="宋体" w:hAnsi="宋体"/>
                <w:sz w:val="16"/>
                <w:lang w:eastAsia="zh-CN"/>
              </w:rPr>
              <w:t>中国共产党党和国家机关基层组织工作条例</w:t>
            </w:r>
            <w:r>
              <w:rPr>
                <w:rFonts w:ascii="宋体" w:hAnsi="宋体" w:eastAsia="宋体"/>
                <w:sz w:val="16"/>
              </w:rPr>
              <w:t>》《关于加强和改进中央和国家机关党的建设的意见》和《中共新疆维吾尔自治区委员会关于加强和改进机关党的建设的实施意见</w:t>
            </w:r>
            <w:r>
              <w:rPr>
                <w:rFonts w:hint="eastAsia" w:ascii="宋体" w:hAnsi="宋体"/>
                <w:sz w:val="16"/>
                <w:lang w:eastAsia="zh-CN"/>
              </w:rPr>
              <w:t>》的</w:t>
            </w:r>
            <w:r>
              <w:rPr>
                <w:rFonts w:ascii="宋体" w:hAnsi="宋体" w:eastAsia="宋体"/>
                <w:sz w:val="16"/>
              </w:rPr>
              <w:t>要求，和硕县委直属机关工委坚持理论武装、基础为要、围绕中心，创建“五个好”标准化规范化党支部60余家，力争打造4家党建示范点</w:t>
            </w:r>
            <w:r>
              <w:rPr>
                <w:rFonts w:hint="eastAsia" w:ascii="宋体" w:hAnsi="宋体"/>
                <w:sz w:val="16"/>
                <w:lang w:eastAsia="zh-CN"/>
              </w:rPr>
              <w:t>，</w:t>
            </w:r>
            <w:r>
              <w:rPr>
                <w:rFonts w:ascii="宋体" w:hAnsi="宋体" w:eastAsia="宋体"/>
                <w:sz w:val="16"/>
              </w:rPr>
              <w:t>建设“四个合格”党员队伍作为提升党建质量、破解发展难题、推动事业发展的有效载体，深入开展机关党建“走在前、做表率”模范机关创建，实现党建工作水平和业务能力同频共振、互融共促，力促机关党建“四个走在前列”。</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68F90FC">
            <w:pPr>
              <w:jc w:val="both"/>
            </w:pPr>
            <w:r>
              <w:rPr>
                <w:rFonts w:ascii="宋体" w:hAnsi="宋体" w:eastAsia="宋体"/>
                <w:sz w:val="16"/>
              </w:rPr>
              <w:t>和硕县委直属机关工委坚持理论武装、基础为要、围绕中心，创建“五个好”标准化规范化党支部60余家，打造4家党建示范点</w:t>
            </w:r>
            <w:r>
              <w:rPr>
                <w:rFonts w:hint="eastAsia" w:ascii="宋体" w:hAnsi="宋体"/>
                <w:sz w:val="16"/>
                <w:lang w:eastAsia="zh-CN"/>
              </w:rPr>
              <w:t>，</w:t>
            </w:r>
            <w:r>
              <w:rPr>
                <w:rFonts w:ascii="宋体" w:hAnsi="宋体" w:eastAsia="宋体"/>
                <w:sz w:val="16"/>
              </w:rPr>
              <w:t>建设“四个合格”党员队伍作为提升党建质量、破解发展难题、推动事业发展的有效载体，深入开展机关党建“走在前、做表率”模范机关创建，实现党建工作水平和业务能力同频共振、互融共促，力促机关党建“四个走在前列”。</w:t>
            </w:r>
          </w:p>
        </w:tc>
      </w:tr>
      <w:tr w14:paraId="24DA1D00">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51CC1F">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84FA84">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CCF3C5">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8FCC59">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DE2DC4">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AC1EBA6">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D05E7E">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6A1740">
            <w:pPr>
              <w:jc w:val="center"/>
            </w:pPr>
            <w:r>
              <w:rPr>
                <w:rFonts w:ascii="宋体" w:hAnsi="宋体" w:eastAsia="宋体"/>
                <w:sz w:val="16"/>
              </w:rPr>
              <w:t>得分</w:t>
            </w:r>
          </w:p>
        </w:tc>
      </w:tr>
      <w:tr w14:paraId="40C85042">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AEF032">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085B35">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9B9201">
            <w:pPr>
              <w:jc w:val="center"/>
            </w:pPr>
            <w:r>
              <w:rPr>
                <w:rFonts w:ascii="宋体" w:hAnsi="宋体" w:eastAsia="宋体"/>
                <w:sz w:val="16"/>
              </w:rPr>
              <w:t>开展县直机关党组织互学互检工作次数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98ED3C">
            <w:pPr>
              <w:jc w:val="center"/>
            </w:pPr>
            <w:r>
              <w:rPr>
                <w:rFonts w:ascii="宋体" w:hAnsi="宋体" w:eastAsia="宋体"/>
                <w:sz w:val="16"/>
              </w:rPr>
              <w:t>&gt;=2次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279308">
            <w:pPr>
              <w:jc w:val="center"/>
            </w:pPr>
            <w:r>
              <w:rPr>
                <w:rFonts w:ascii="宋体" w:hAnsi="宋体" w:eastAsia="宋体"/>
                <w:sz w:val="16"/>
              </w:rPr>
              <w:t>和硕县委直属机关工作委员会2023年工作总结及2024年工作计划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5DF06D">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775E30">
            <w:pPr>
              <w:jc w:val="center"/>
            </w:pPr>
            <w:r>
              <w:rPr>
                <w:rFonts w:ascii="宋体" w:hAnsi="宋体" w:eastAsia="宋体"/>
                <w:sz w:val="16"/>
              </w:rPr>
              <w:t>2次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0A6763">
            <w:pPr>
              <w:jc w:val="center"/>
            </w:pPr>
            <w:r>
              <w:rPr>
                <w:rFonts w:ascii="宋体" w:hAnsi="宋体" w:eastAsia="宋体"/>
                <w:sz w:val="16"/>
              </w:rPr>
              <w:t>10</w:t>
            </w:r>
          </w:p>
        </w:tc>
      </w:tr>
      <w:tr w14:paraId="4B1B2DC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681C6A8"/>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97C7E6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26EF5F">
            <w:pPr>
              <w:jc w:val="center"/>
            </w:pPr>
            <w:r>
              <w:rPr>
                <w:rFonts w:ascii="宋体" w:hAnsi="宋体" w:eastAsia="宋体"/>
                <w:sz w:val="16"/>
              </w:rPr>
              <w:t>打造县级“五个好”党支部个数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EC7D3F">
            <w:pPr>
              <w:jc w:val="center"/>
            </w:pPr>
            <w:r>
              <w:rPr>
                <w:rFonts w:ascii="宋体" w:hAnsi="宋体" w:eastAsia="宋体"/>
                <w:sz w:val="16"/>
              </w:rPr>
              <w:t>&gt;=60个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991095">
            <w:pPr>
              <w:jc w:val="center"/>
            </w:pPr>
            <w:r>
              <w:rPr>
                <w:rFonts w:ascii="宋体" w:hAnsi="宋体" w:eastAsia="宋体"/>
                <w:sz w:val="16"/>
              </w:rPr>
              <w:t>和硕县委直属机关工作委员会2023年工作总结及2024年工作计划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DFCC4F">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20F18A">
            <w:pPr>
              <w:jc w:val="center"/>
            </w:pPr>
            <w:r>
              <w:rPr>
                <w:rFonts w:ascii="宋体" w:hAnsi="宋体" w:eastAsia="宋体"/>
                <w:sz w:val="16"/>
              </w:rPr>
              <w:t>60个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DCD3F7">
            <w:pPr>
              <w:jc w:val="center"/>
            </w:pPr>
            <w:r>
              <w:rPr>
                <w:rFonts w:ascii="宋体" w:hAnsi="宋体" w:eastAsia="宋体"/>
                <w:sz w:val="16"/>
              </w:rPr>
              <w:t>10</w:t>
            </w:r>
          </w:p>
        </w:tc>
      </w:tr>
      <w:tr w14:paraId="741E564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0275F54"/>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79CCC92"/>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1FC618">
            <w:pPr>
              <w:jc w:val="center"/>
            </w:pPr>
            <w:r>
              <w:rPr>
                <w:rFonts w:ascii="宋体" w:hAnsi="宋体" w:eastAsia="宋体"/>
                <w:sz w:val="16"/>
              </w:rPr>
              <w:t>打造党建示范点个数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5D2D34">
            <w:pPr>
              <w:jc w:val="center"/>
            </w:pPr>
            <w:r>
              <w:rPr>
                <w:rFonts w:ascii="宋体" w:hAnsi="宋体" w:eastAsia="宋体"/>
                <w:sz w:val="16"/>
              </w:rPr>
              <w:t>&gt;=4个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D6E3B7">
            <w:pPr>
              <w:jc w:val="center"/>
            </w:pPr>
            <w:r>
              <w:rPr>
                <w:rFonts w:ascii="宋体" w:hAnsi="宋体" w:eastAsia="宋体"/>
                <w:sz w:val="16"/>
              </w:rPr>
              <w:t>和硕县委直属机关工作委员会2023年工作总结及2024年工作计划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3D8F41">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EB65A2">
            <w:pPr>
              <w:jc w:val="center"/>
            </w:pPr>
            <w:r>
              <w:rPr>
                <w:rFonts w:ascii="宋体" w:hAnsi="宋体" w:eastAsia="宋体"/>
                <w:sz w:val="16"/>
              </w:rPr>
              <w:t>4个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2517BF">
            <w:pPr>
              <w:jc w:val="center"/>
            </w:pPr>
            <w:r>
              <w:rPr>
                <w:rFonts w:ascii="宋体" w:hAnsi="宋体" w:eastAsia="宋体"/>
                <w:sz w:val="16"/>
              </w:rPr>
              <w:t>10</w:t>
            </w:r>
          </w:p>
        </w:tc>
      </w:tr>
      <w:tr w14:paraId="17BA802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87CF178"/>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6CEC78F"/>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A28784">
            <w:pPr>
              <w:jc w:val="center"/>
            </w:pPr>
            <w:r>
              <w:rPr>
                <w:rFonts w:ascii="宋体" w:hAnsi="宋体" w:eastAsia="宋体"/>
                <w:sz w:val="16"/>
              </w:rPr>
              <w:t>组织基层党组织党员干部培训次数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B77F35">
            <w:pPr>
              <w:jc w:val="center"/>
            </w:pPr>
            <w:r>
              <w:rPr>
                <w:rFonts w:ascii="宋体" w:hAnsi="宋体" w:eastAsia="宋体"/>
                <w:sz w:val="16"/>
              </w:rPr>
              <w:t>&gt;=2次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EEC400">
            <w:pPr>
              <w:jc w:val="center"/>
            </w:pPr>
            <w:r>
              <w:rPr>
                <w:rFonts w:ascii="宋体" w:hAnsi="宋体" w:eastAsia="宋体"/>
                <w:sz w:val="16"/>
              </w:rPr>
              <w:t>和硕县委直属机关工作委员会2023年工作总结及2024年工作计划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B4F2BF">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99AD1F">
            <w:pPr>
              <w:jc w:val="center"/>
            </w:pPr>
            <w:r>
              <w:rPr>
                <w:rFonts w:ascii="宋体" w:hAnsi="宋体" w:eastAsia="宋体"/>
                <w:sz w:val="16"/>
              </w:rPr>
              <w:t>2次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98BB64">
            <w:pPr>
              <w:jc w:val="center"/>
            </w:pPr>
            <w:r>
              <w:rPr>
                <w:rFonts w:ascii="宋体" w:hAnsi="宋体" w:eastAsia="宋体"/>
                <w:sz w:val="16"/>
              </w:rPr>
              <w:t>10</w:t>
            </w:r>
          </w:p>
        </w:tc>
      </w:tr>
      <w:tr w14:paraId="0EA48D1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F4F2D11"/>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31986D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569630">
            <w:pPr>
              <w:jc w:val="center"/>
            </w:pPr>
            <w:r>
              <w:rPr>
                <w:rFonts w:ascii="宋体" w:hAnsi="宋体" w:eastAsia="宋体"/>
                <w:sz w:val="16"/>
              </w:rPr>
              <w:t>开展专题活动次数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8A8324">
            <w:pPr>
              <w:jc w:val="center"/>
            </w:pPr>
            <w:r>
              <w:rPr>
                <w:rFonts w:ascii="宋体" w:hAnsi="宋体" w:eastAsia="宋体"/>
                <w:sz w:val="16"/>
              </w:rPr>
              <w:t>&gt;=2次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E24591">
            <w:pPr>
              <w:jc w:val="center"/>
            </w:pPr>
            <w:r>
              <w:rPr>
                <w:rFonts w:ascii="宋体" w:hAnsi="宋体" w:eastAsia="宋体"/>
                <w:sz w:val="16"/>
              </w:rPr>
              <w:t>和硕县委直属机关工作委员会2023年工作总结及2024年工作计划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5B1796">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DE90A1">
            <w:pPr>
              <w:jc w:val="center"/>
            </w:pPr>
            <w:r>
              <w:rPr>
                <w:rFonts w:ascii="宋体" w:hAnsi="宋体" w:eastAsia="宋体"/>
                <w:sz w:val="16"/>
              </w:rPr>
              <w:t>2次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FB4C38">
            <w:pPr>
              <w:jc w:val="center"/>
            </w:pPr>
            <w:r>
              <w:rPr>
                <w:rFonts w:ascii="宋体" w:hAnsi="宋体" w:eastAsia="宋体"/>
                <w:sz w:val="16"/>
              </w:rPr>
              <w:t>10</w:t>
            </w:r>
          </w:p>
        </w:tc>
      </w:tr>
      <w:tr w14:paraId="12F1D63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EA49E44"/>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C5EE25">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3645F9">
            <w:pPr>
              <w:jc w:val="center"/>
            </w:pPr>
            <w:r>
              <w:rPr>
                <w:rFonts w:ascii="宋体" w:hAnsi="宋体" w:eastAsia="宋体"/>
                <w:sz w:val="16"/>
              </w:rPr>
              <w:t>党支部标准化、规范化建设完成率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AFD9F9">
            <w:pPr>
              <w:jc w:val="center"/>
            </w:pPr>
            <w:r>
              <w:rPr>
                <w:rFonts w:ascii="宋体" w:hAnsi="宋体" w:eastAsia="宋体"/>
                <w:sz w:val="16"/>
              </w:rPr>
              <w:t>&gt;=95%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E4F70D">
            <w:pPr>
              <w:jc w:val="center"/>
            </w:pPr>
            <w:r>
              <w:rPr>
                <w:rFonts w:ascii="宋体" w:hAnsi="宋体" w:eastAsia="宋体"/>
                <w:sz w:val="16"/>
              </w:rPr>
              <w:t>和硕县委直属机关工作委员会2023年工作总结及2024年工作计划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614345">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A87715">
            <w:pPr>
              <w:jc w:val="center"/>
            </w:pPr>
            <w:r>
              <w:rPr>
                <w:rFonts w:ascii="宋体" w:hAnsi="宋体" w:eastAsia="宋体"/>
                <w:sz w:val="16"/>
              </w:rPr>
              <w:t>95%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A9C609">
            <w:pPr>
              <w:jc w:val="center"/>
            </w:pPr>
            <w:r>
              <w:rPr>
                <w:rFonts w:ascii="宋体" w:hAnsi="宋体" w:eastAsia="宋体"/>
                <w:sz w:val="16"/>
              </w:rPr>
              <w:t>20</w:t>
            </w:r>
          </w:p>
        </w:tc>
      </w:tr>
      <w:tr w14:paraId="3FEEE14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AA12B29"/>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BFD1135"/>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6EF823">
            <w:pPr>
              <w:jc w:val="center"/>
            </w:pPr>
            <w:r>
              <w:rPr>
                <w:rFonts w:ascii="宋体" w:hAnsi="宋体" w:eastAsia="宋体"/>
                <w:sz w:val="16"/>
              </w:rPr>
              <w:t>党支部发挥党组织的战斗力、凝聚力和党员先锋模范作用覆盖率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4538EF">
            <w:pPr>
              <w:jc w:val="center"/>
            </w:pPr>
            <w:r>
              <w:rPr>
                <w:rFonts w:ascii="宋体" w:hAnsi="宋体" w:eastAsia="宋体"/>
                <w:sz w:val="16"/>
              </w:rPr>
              <w:t>&gt;=95%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9653AB">
            <w:pPr>
              <w:jc w:val="center"/>
            </w:pPr>
            <w:r>
              <w:rPr>
                <w:rFonts w:ascii="宋体" w:hAnsi="宋体" w:eastAsia="宋体"/>
                <w:sz w:val="16"/>
              </w:rPr>
              <w:t>和硕县委直属机关工作委员会2023年工作总结及2024年工作计划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7E6A9E">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09EF0B">
            <w:pPr>
              <w:jc w:val="center"/>
            </w:pPr>
            <w:r>
              <w:rPr>
                <w:rFonts w:ascii="宋体" w:hAnsi="宋体" w:eastAsia="宋体"/>
                <w:sz w:val="16"/>
              </w:rPr>
              <w:t>95%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91FC4C">
            <w:pPr>
              <w:jc w:val="center"/>
            </w:pPr>
            <w:r>
              <w:rPr>
                <w:rFonts w:ascii="宋体" w:hAnsi="宋体" w:eastAsia="宋体"/>
                <w:sz w:val="16"/>
              </w:rPr>
              <w:t>20</w:t>
            </w:r>
          </w:p>
        </w:tc>
      </w:tr>
    </w:tbl>
    <w:p w14:paraId="6113B85D">
      <w:r>
        <w:br w:type="page"/>
      </w:r>
    </w:p>
    <w:p w14:paraId="285C2F46">
      <w:pPr>
        <w:spacing w:line="640" w:lineRule="exact"/>
        <w:ind w:firstLine="640"/>
        <w:jc w:val="both"/>
        <w:outlineLvl w:val="2"/>
      </w:pPr>
      <w:r>
        <w:rPr>
          <w:rFonts w:ascii="黑体" w:hAnsi="黑体" w:eastAsia="黑体"/>
          <w:sz w:val="32"/>
        </w:rPr>
        <w:t>十二、其他需说明的事项</w:t>
      </w:r>
    </w:p>
    <w:p w14:paraId="4E5DEA1D">
      <w:pPr>
        <w:spacing w:line="580" w:lineRule="exact"/>
        <w:ind w:firstLine="640"/>
        <w:jc w:val="both"/>
      </w:pPr>
      <w:r>
        <w:rPr>
          <w:rFonts w:ascii="仿宋_GB2312" w:hAnsi="仿宋_GB2312" w:eastAsia="仿宋_GB2312"/>
          <w:b w:val="0"/>
          <w:sz w:val="32"/>
        </w:rPr>
        <w:t>本单位无其他需说明的事项。</w:t>
      </w:r>
    </w:p>
    <w:p w14:paraId="3A1C5B50">
      <w:r>
        <w:br w:type="page"/>
      </w:r>
    </w:p>
    <w:p w14:paraId="03F71DCF">
      <w:pPr>
        <w:spacing w:line="240" w:lineRule="auto"/>
        <w:jc w:val="center"/>
        <w:outlineLvl w:val="1"/>
      </w:pPr>
      <w:r>
        <w:rPr>
          <w:rFonts w:ascii="黑体" w:hAnsi="黑体" w:eastAsia="黑体"/>
          <w:sz w:val="32"/>
        </w:rPr>
        <w:t>第三部分 专业名词解释</w:t>
      </w:r>
    </w:p>
    <w:p w14:paraId="5D19972A">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244DE2E">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7FA3ED6">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F335248">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6E69FCD">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2D69BAC5">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883561F">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29119E7">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2336C3F">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52F73ED5">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157F8E8">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0574A00">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B8F5DA7">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B814081">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51CA3A89">
      <w:r>
        <w:br w:type="page"/>
      </w:r>
    </w:p>
    <w:p w14:paraId="1688BAC6">
      <w:pPr>
        <w:spacing w:line="240" w:lineRule="auto"/>
        <w:jc w:val="center"/>
        <w:outlineLvl w:val="1"/>
      </w:pPr>
      <w:r>
        <w:rPr>
          <w:rFonts w:ascii="黑体" w:hAnsi="黑体" w:eastAsia="黑体"/>
          <w:sz w:val="32"/>
        </w:rPr>
        <w:t>第四部分 部门决算报表（见附表）</w:t>
      </w:r>
    </w:p>
    <w:p w14:paraId="0E008F8B">
      <w:pPr>
        <w:spacing w:line="240" w:lineRule="auto"/>
        <w:ind w:firstLine="640"/>
        <w:jc w:val="both"/>
      </w:pPr>
      <w:r>
        <w:rPr>
          <w:rFonts w:ascii="仿宋_GB2312" w:hAnsi="仿宋_GB2312" w:eastAsia="仿宋_GB2312"/>
          <w:b w:val="0"/>
          <w:sz w:val="32"/>
        </w:rPr>
        <w:t>一、《收入支出决算总表》</w:t>
      </w:r>
    </w:p>
    <w:p w14:paraId="3231E6BF">
      <w:pPr>
        <w:spacing w:line="240" w:lineRule="auto"/>
        <w:ind w:firstLine="640"/>
        <w:jc w:val="both"/>
      </w:pPr>
      <w:r>
        <w:rPr>
          <w:rFonts w:ascii="仿宋_GB2312" w:hAnsi="仿宋_GB2312" w:eastAsia="仿宋_GB2312"/>
          <w:b w:val="0"/>
          <w:sz w:val="32"/>
        </w:rPr>
        <w:t>二、《收入决算表》</w:t>
      </w:r>
    </w:p>
    <w:p w14:paraId="1F854435">
      <w:pPr>
        <w:spacing w:line="240" w:lineRule="auto"/>
        <w:ind w:firstLine="640"/>
        <w:jc w:val="both"/>
      </w:pPr>
      <w:r>
        <w:rPr>
          <w:rFonts w:ascii="仿宋_GB2312" w:hAnsi="仿宋_GB2312" w:eastAsia="仿宋_GB2312"/>
          <w:b w:val="0"/>
          <w:sz w:val="32"/>
        </w:rPr>
        <w:t>三、《支出决算表》</w:t>
      </w:r>
    </w:p>
    <w:p w14:paraId="48B161EA">
      <w:pPr>
        <w:spacing w:line="240" w:lineRule="auto"/>
        <w:ind w:firstLine="640"/>
        <w:jc w:val="both"/>
      </w:pPr>
      <w:r>
        <w:rPr>
          <w:rFonts w:ascii="仿宋_GB2312" w:hAnsi="仿宋_GB2312" w:eastAsia="仿宋_GB2312"/>
          <w:b w:val="0"/>
          <w:sz w:val="32"/>
        </w:rPr>
        <w:t>四、《财政拨款收入支出决算总表》</w:t>
      </w:r>
    </w:p>
    <w:p w14:paraId="3223A614">
      <w:pPr>
        <w:spacing w:line="240" w:lineRule="auto"/>
        <w:ind w:firstLine="640"/>
        <w:jc w:val="both"/>
      </w:pPr>
      <w:r>
        <w:rPr>
          <w:rFonts w:ascii="仿宋_GB2312" w:hAnsi="仿宋_GB2312" w:eastAsia="仿宋_GB2312"/>
          <w:b w:val="0"/>
          <w:sz w:val="32"/>
        </w:rPr>
        <w:t>五、《一般公共预算财政拨款支出决算表》</w:t>
      </w:r>
    </w:p>
    <w:p w14:paraId="18DF0FB7">
      <w:pPr>
        <w:spacing w:line="240" w:lineRule="auto"/>
        <w:ind w:firstLine="640"/>
        <w:jc w:val="both"/>
      </w:pPr>
      <w:r>
        <w:rPr>
          <w:rFonts w:ascii="仿宋_GB2312" w:hAnsi="仿宋_GB2312" w:eastAsia="仿宋_GB2312"/>
          <w:b w:val="0"/>
          <w:sz w:val="32"/>
        </w:rPr>
        <w:t>六、《一般公共预算财政拨款基本支出决算表》</w:t>
      </w:r>
    </w:p>
    <w:p w14:paraId="41892017">
      <w:pPr>
        <w:spacing w:line="240" w:lineRule="auto"/>
        <w:ind w:firstLine="640"/>
        <w:jc w:val="both"/>
      </w:pPr>
      <w:r>
        <w:rPr>
          <w:rFonts w:ascii="仿宋_GB2312" w:hAnsi="仿宋_GB2312" w:eastAsia="仿宋_GB2312"/>
          <w:b w:val="0"/>
          <w:sz w:val="32"/>
        </w:rPr>
        <w:t>七、《政府性基金预算财政拨款收入支出决算表》</w:t>
      </w:r>
    </w:p>
    <w:p w14:paraId="0D548B68">
      <w:pPr>
        <w:spacing w:line="240" w:lineRule="auto"/>
        <w:ind w:firstLine="640"/>
        <w:jc w:val="both"/>
      </w:pPr>
      <w:r>
        <w:rPr>
          <w:rFonts w:ascii="仿宋_GB2312" w:hAnsi="仿宋_GB2312" w:eastAsia="仿宋_GB2312"/>
          <w:b w:val="0"/>
          <w:sz w:val="32"/>
        </w:rPr>
        <w:t>八、《国有资本经营预算财政拨款收入支出决算表》</w:t>
      </w:r>
    </w:p>
    <w:p w14:paraId="59265213">
      <w:pPr>
        <w:spacing w:line="240" w:lineRule="auto"/>
        <w:ind w:firstLine="640"/>
        <w:jc w:val="both"/>
      </w:pPr>
      <w:r>
        <w:rPr>
          <w:rFonts w:ascii="仿宋_GB2312" w:hAnsi="仿宋_GB2312" w:eastAsia="仿宋_GB2312"/>
          <w:b w:val="0"/>
          <w:sz w:val="32"/>
        </w:rPr>
        <w:t>九、《财政拨款“三公”经费支出决算表》</w:t>
      </w:r>
    </w:p>
    <w:p w14:paraId="2DB266DF">
      <w:pPr>
        <w:spacing w:line="240" w:lineRule="auto"/>
        <w:ind w:firstLine="640"/>
        <w:jc w:val="both"/>
      </w:pPr>
    </w:p>
    <w:p w14:paraId="336B6FE3">
      <w:pPr>
        <w:spacing w:line="240" w:lineRule="auto"/>
        <w:ind w:firstLine="640"/>
        <w:jc w:val="both"/>
      </w:pPr>
    </w:p>
    <w:p w14:paraId="309454AF">
      <w:pPr>
        <w:spacing w:line="240" w:lineRule="auto"/>
        <w:ind w:firstLine="640"/>
        <w:jc w:val="both"/>
      </w:pPr>
    </w:p>
    <w:p w14:paraId="0E6579A4">
      <w:pPr>
        <w:spacing w:line="240" w:lineRule="auto"/>
        <w:ind w:firstLine="640"/>
        <w:jc w:val="both"/>
      </w:pPr>
    </w:p>
    <w:p w14:paraId="23CE9320">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5393CE-D496-473A-B4EA-8BAD503AED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9F46FDAD-D4C9-412C-B987-238909AA4D02}"/>
  </w:font>
  <w:font w:name="仿宋_GB2312">
    <w:panose1 w:val="02010609030101010101"/>
    <w:charset w:val="86"/>
    <w:family w:val="modern"/>
    <w:pitch w:val="default"/>
    <w:sig w:usb0="00000001" w:usb1="080E0000" w:usb2="00000000" w:usb3="00000000" w:csb0="00040000" w:csb1="00000000"/>
    <w:embedRegular r:id="rId3" w:fontKey="{B2F91302-8761-4C9F-B3F9-E518A190909D}"/>
  </w:font>
  <w:font w:name="楷体_GB2312">
    <w:panose1 w:val="02010609030101010101"/>
    <w:charset w:val="86"/>
    <w:family w:val="auto"/>
    <w:pitch w:val="default"/>
    <w:sig w:usb0="00000001" w:usb1="080E0000" w:usb2="00000000" w:usb3="00000000" w:csb0="00040000" w:csb1="00000000"/>
    <w:embedRegular r:id="rId4" w:fontKey="{1B60E9EF-BB98-42BB-AB64-EB42565090D4}"/>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EC2006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DE46653"/>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 w:val="7B2273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3667</Words>
  <Characters>4188</Characters>
  <Lines>0</Lines>
  <Paragraphs>0</Paragraphs>
  <TotalTime>3</TotalTime>
  <ScaleCrop>false</ScaleCrop>
  <LinksUpToDate>false</LinksUpToDate>
  <CharactersWithSpaces>4196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七喜</cp:lastModifiedBy>
  <cp:lastPrinted>2024-07-22T11:58:00Z</cp:lastPrinted>
  <dcterms:modified xsi:type="dcterms:W3CDTF">2025-09-30T04:10:56Z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eyJoZGlkIjoiMGIxZTI3ODM4ZmVjOGE5NDFiYmE3OTRiMjQ5OTEyNzIiLCJ1c2VySWQiOiIyNTk4NTcxMjUifQ==</vt:lpwstr>
  </property>
</Properties>
</file>