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A8409"/>
    <w:p w14:paraId="2BFDBCF2">
      <w:pPr>
        <w:spacing w:line="540" w:lineRule="exact"/>
        <w:jc w:val="center"/>
        <w:rPr>
          <w:rFonts w:eastAsia="华文中宋"/>
          <w:b/>
          <w:kern w:val="0"/>
          <w:sz w:val="52"/>
          <w:szCs w:val="52"/>
        </w:rPr>
      </w:pPr>
    </w:p>
    <w:p w14:paraId="4E782E22">
      <w:pPr>
        <w:spacing w:line="540" w:lineRule="exact"/>
        <w:jc w:val="center"/>
        <w:rPr>
          <w:rFonts w:eastAsia="华文中宋"/>
          <w:b/>
          <w:kern w:val="0"/>
          <w:sz w:val="52"/>
          <w:szCs w:val="52"/>
        </w:rPr>
      </w:pPr>
    </w:p>
    <w:p w14:paraId="7859E08C">
      <w:pPr>
        <w:spacing w:line="540" w:lineRule="exact"/>
        <w:rPr>
          <w:rFonts w:eastAsia="华文中宋"/>
          <w:b/>
          <w:kern w:val="0"/>
          <w:sz w:val="52"/>
          <w:szCs w:val="52"/>
        </w:rPr>
      </w:pPr>
    </w:p>
    <w:p w14:paraId="7AF1501E">
      <w:pPr>
        <w:spacing w:line="540" w:lineRule="exact"/>
        <w:jc w:val="center"/>
        <w:rPr>
          <w:rFonts w:eastAsia="华文中宋"/>
          <w:b/>
          <w:kern w:val="0"/>
          <w:sz w:val="52"/>
          <w:szCs w:val="52"/>
        </w:rPr>
      </w:pPr>
    </w:p>
    <w:p w14:paraId="306C0CCE">
      <w:pPr>
        <w:spacing w:line="540" w:lineRule="exact"/>
        <w:jc w:val="center"/>
        <w:rPr>
          <w:rFonts w:eastAsia="方正小标宋_GBK"/>
          <w:kern w:val="0"/>
          <w:sz w:val="48"/>
          <w:szCs w:val="48"/>
        </w:rPr>
      </w:pPr>
      <w:bookmarkStart w:id="0" w:name="OLE_LINK1"/>
      <w:r>
        <w:rPr>
          <w:rFonts w:hint="eastAsia" w:eastAsia="方正小标宋_GBK"/>
          <w:kern w:val="0"/>
          <w:sz w:val="48"/>
          <w:szCs w:val="48"/>
        </w:rPr>
        <w:t>中国人民政治协商会议和硕县委员会</w:t>
      </w:r>
    </w:p>
    <w:p w14:paraId="04E655B8">
      <w:pPr>
        <w:spacing w:line="540" w:lineRule="exact"/>
        <w:jc w:val="center"/>
        <w:rPr>
          <w:rFonts w:eastAsia="方正小标宋_GBK"/>
          <w:kern w:val="0"/>
          <w:sz w:val="48"/>
          <w:szCs w:val="48"/>
        </w:rPr>
      </w:pPr>
      <w:r>
        <w:rPr>
          <w:rFonts w:hint="eastAsia" w:eastAsia="方正小标宋_GBK"/>
          <w:kern w:val="0"/>
          <w:sz w:val="48"/>
          <w:szCs w:val="48"/>
        </w:rPr>
        <w:t>办公室</w:t>
      </w:r>
      <w:r>
        <w:rPr>
          <w:rFonts w:eastAsia="方正小标宋_GBK"/>
          <w:kern w:val="0"/>
          <w:sz w:val="48"/>
          <w:szCs w:val="48"/>
        </w:rPr>
        <w:t>自治区基层</w:t>
      </w:r>
      <w:r>
        <w:rPr>
          <w:rFonts w:hint="eastAsia" w:eastAsia="方正小标宋_GBK"/>
          <w:kern w:val="0"/>
          <w:sz w:val="48"/>
          <w:szCs w:val="48"/>
        </w:rPr>
        <w:t>政协</w:t>
      </w:r>
      <w:r>
        <w:rPr>
          <w:rFonts w:eastAsia="方正小标宋_GBK"/>
          <w:kern w:val="0"/>
          <w:sz w:val="48"/>
          <w:szCs w:val="48"/>
        </w:rPr>
        <w:t>补助经</w:t>
      </w:r>
      <w:r>
        <w:rPr>
          <w:rFonts w:hint="eastAsia" w:eastAsia="方正小标宋_GBK"/>
          <w:kern w:val="0"/>
          <w:sz w:val="48"/>
          <w:szCs w:val="48"/>
        </w:rPr>
        <w:t>费</w:t>
      </w:r>
      <w:bookmarkEnd w:id="0"/>
    </w:p>
    <w:p w14:paraId="6023E8DB">
      <w:pPr>
        <w:spacing w:line="540" w:lineRule="exact"/>
        <w:jc w:val="center"/>
        <w:rPr>
          <w:rFonts w:eastAsia="方正小标宋_GBK"/>
          <w:kern w:val="0"/>
          <w:sz w:val="48"/>
          <w:szCs w:val="48"/>
        </w:rPr>
      </w:pPr>
      <w:r>
        <w:rPr>
          <w:rFonts w:eastAsia="方正小标宋_GBK"/>
          <w:kern w:val="0"/>
          <w:sz w:val="48"/>
          <w:szCs w:val="48"/>
        </w:rPr>
        <w:t>项目支出绩效评价报告</w:t>
      </w:r>
    </w:p>
    <w:p w14:paraId="5A4BB104">
      <w:pPr>
        <w:spacing w:line="540" w:lineRule="exact"/>
        <w:jc w:val="center"/>
        <w:rPr>
          <w:rFonts w:eastAsia="华文中宋"/>
          <w:b/>
          <w:kern w:val="0"/>
          <w:sz w:val="52"/>
          <w:szCs w:val="52"/>
        </w:rPr>
      </w:pPr>
    </w:p>
    <w:p w14:paraId="2E1191AB">
      <w:pPr>
        <w:spacing w:line="540" w:lineRule="exact"/>
        <w:jc w:val="center"/>
        <w:rPr>
          <w:rFonts w:eastAsia="仿宋_GB2312"/>
          <w:kern w:val="0"/>
          <w:sz w:val="36"/>
          <w:szCs w:val="36"/>
        </w:rPr>
      </w:pPr>
      <w:r>
        <w:rPr>
          <w:rFonts w:eastAsia="仿宋_GB2312"/>
          <w:kern w:val="0"/>
          <w:sz w:val="36"/>
          <w:szCs w:val="36"/>
        </w:rPr>
        <w:t>（2024年度）</w:t>
      </w:r>
    </w:p>
    <w:p w14:paraId="0262F3F3">
      <w:pPr>
        <w:spacing w:line="540" w:lineRule="exact"/>
        <w:jc w:val="center"/>
        <w:rPr>
          <w:rFonts w:eastAsia="仿宋_GB2312"/>
          <w:kern w:val="0"/>
          <w:sz w:val="30"/>
          <w:szCs w:val="30"/>
        </w:rPr>
      </w:pPr>
    </w:p>
    <w:p w14:paraId="7001BC2D">
      <w:pPr>
        <w:spacing w:line="540" w:lineRule="exact"/>
        <w:jc w:val="center"/>
        <w:rPr>
          <w:rFonts w:eastAsia="仿宋_GB2312"/>
          <w:kern w:val="0"/>
          <w:sz w:val="30"/>
          <w:szCs w:val="30"/>
        </w:rPr>
      </w:pPr>
    </w:p>
    <w:p w14:paraId="02A82A57">
      <w:pPr>
        <w:spacing w:line="540" w:lineRule="exact"/>
        <w:jc w:val="center"/>
        <w:rPr>
          <w:rFonts w:eastAsia="仿宋_GB2312"/>
          <w:kern w:val="0"/>
          <w:sz w:val="30"/>
          <w:szCs w:val="30"/>
        </w:rPr>
      </w:pPr>
    </w:p>
    <w:p w14:paraId="0B8B661F">
      <w:pPr>
        <w:pStyle w:val="2"/>
        <w:rPr>
          <w:rFonts w:ascii="Times New Roman" w:hAnsi="Times New Roman"/>
        </w:rPr>
      </w:pPr>
    </w:p>
    <w:p w14:paraId="233ADF9C">
      <w:pPr>
        <w:spacing w:line="540" w:lineRule="exact"/>
        <w:jc w:val="center"/>
        <w:rPr>
          <w:rFonts w:eastAsia="仿宋_GB2312"/>
          <w:kern w:val="0"/>
          <w:sz w:val="30"/>
          <w:szCs w:val="30"/>
        </w:rPr>
      </w:pPr>
    </w:p>
    <w:p w14:paraId="0905C0F1">
      <w:pPr>
        <w:spacing w:line="540" w:lineRule="exact"/>
        <w:jc w:val="center"/>
        <w:rPr>
          <w:rFonts w:eastAsia="仿宋_GB2312"/>
          <w:kern w:val="0"/>
          <w:sz w:val="30"/>
          <w:szCs w:val="30"/>
        </w:rPr>
      </w:pPr>
    </w:p>
    <w:p w14:paraId="5AF09DE2">
      <w:pPr>
        <w:spacing w:line="540" w:lineRule="exact"/>
        <w:jc w:val="center"/>
        <w:rPr>
          <w:rFonts w:eastAsia="仿宋_GB2312"/>
          <w:kern w:val="0"/>
          <w:sz w:val="30"/>
          <w:szCs w:val="30"/>
        </w:rPr>
      </w:pPr>
    </w:p>
    <w:p w14:paraId="5DFE3CE4">
      <w:pPr>
        <w:spacing w:line="560" w:lineRule="exact"/>
        <w:ind w:left="420" w:firstLine="420"/>
        <w:rPr>
          <w:rFonts w:ascii="仿宋" w:hAnsi="仿宋" w:eastAsia="仿宋" w:cs="仿宋"/>
          <w:kern w:val="0"/>
          <w:sz w:val="30"/>
          <w:szCs w:val="30"/>
        </w:rPr>
      </w:pPr>
      <w:r>
        <w:rPr>
          <w:rFonts w:hint="eastAsia" w:ascii="宋体" w:hAnsi="宋体" w:cs="仿宋_GB2312"/>
          <w:b/>
          <w:bCs/>
          <w:color w:val="000000"/>
          <w:kern w:val="0"/>
          <w:sz w:val="30"/>
          <w:szCs w:val="30"/>
        </w:rPr>
        <w:t>项目名称：</w:t>
      </w:r>
      <w:r>
        <w:rPr>
          <w:rFonts w:hint="eastAsia" w:ascii="仿宋" w:hAnsi="仿宋" w:eastAsia="仿宋" w:cs="仿宋"/>
          <w:sz w:val="30"/>
          <w:szCs w:val="30"/>
        </w:rPr>
        <w:t>2024年基层政协补助经费</w:t>
      </w:r>
    </w:p>
    <w:p w14:paraId="6D0CEC0D">
      <w:pPr>
        <w:spacing w:line="560" w:lineRule="exact"/>
        <w:ind w:left="420" w:firstLine="420"/>
        <w:rPr>
          <w:rFonts w:ascii="仿宋" w:hAnsi="仿宋" w:eastAsia="仿宋" w:cs="仿宋"/>
          <w:sz w:val="30"/>
          <w:szCs w:val="30"/>
        </w:rPr>
      </w:pPr>
      <w:r>
        <w:rPr>
          <w:rFonts w:hint="eastAsia" w:ascii="宋体" w:hAnsi="宋体" w:cs="仿宋_GB2312"/>
          <w:b/>
          <w:bCs/>
          <w:color w:val="000000"/>
          <w:kern w:val="0"/>
          <w:sz w:val="30"/>
          <w:szCs w:val="30"/>
        </w:rPr>
        <w:t>实施单位（公章）：</w:t>
      </w:r>
      <w:r>
        <w:rPr>
          <w:rFonts w:hint="eastAsia" w:ascii="仿宋" w:hAnsi="仿宋" w:eastAsia="仿宋" w:cs="仿宋"/>
          <w:sz w:val="30"/>
          <w:szCs w:val="30"/>
        </w:rPr>
        <w:t>政协和硕县委员会办公室</w:t>
      </w:r>
    </w:p>
    <w:p w14:paraId="40132BCE">
      <w:pPr>
        <w:spacing w:line="560" w:lineRule="exact"/>
        <w:ind w:left="420" w:firstLine="420"/>
        <w:rPr>
          <w:rFonts w:ascii="仿宋" w:hAnsi="仿宋" w:eastAsia="仿宋" w:cs="仿宋"/>
          <w:sz w:val="30"/>
          <w:szCs w:val="30"/>
        </w:rPr>
      </w:pPr>
      <w:r>
        <w:rPr>
          <w:rFonts w:hint="eastAsia" w:ascii="宋体" w:hAnsi="宋体" w:cs="仿宋_GB2312"/>
          <w:b/>
          <w:bCs/>
          <w:color w:val="000000"/>
          <w:kern w:val="0"/>
          <w:sz w:val="30"/>
          <w:szCs w:val="30"/>
        </w:rPr>
        <w:t>主管部门（公章）：</w:t>
      </w:r>
      <w:r>
        <w:rPr>
          <w:rFonts w:hint="eastAsia" w:ascii="仿宋" w:hAnsi="仿宋" w:eastAsia="仿宋" w:cs="仿宋"/>
          <w:sz w:val="30"/>
          <w:szCs w:val="30"/>
        </w:rPr>
        <w:t>政协和硕县委员会办公室</w:t>
      </w:r>
    </w:p>
    <w:p w14:paraId="4A65DE57">
      <w:pPr>
        <w:spacing w:line="560" w:lineRule="exact"/>
        <w:ind w:left="420" w:firstLine="420"/>
        <w:rPr>
          <w:rFonts w:ascii="仿宋" w:hAnsi="仿宋" w:eastAsia="仿宋" w:cs="仿宋"/>
          <w:sz w:val="30"/>
          <w:szCs w:val="30"/>
        </w:rPr>
      </w:pPr>
      <w:r>
        <w:rPr>
          <w:rFonts w:hint="eastAsia" w:ascii="宋体" w:hAnsi="宋体" w:cs="仿宋_GB2312"/>
          <w:b/>
          <w:bCs/>
          <w:color w:val="000000"/>
          <w:kern w:val="0"/>
          <w:sz w:val="30"/>
          <w:szCs w:val="30"/>
        </w:rPr>
        <w:t>项目负责人（签章）：</w:t>
      </w:r>
      <w:r>
        <w:rPr>
          <w:rFonts w:hint="eastAsia" w:ascii="仿宋" w:hAnsi="仿宋" w:eastAsia="仿宋" w:cs="仿宋"/>
          <w:sz w:val="30"/>
          <w:szCs w:val="30"/>
        </w:rPr>
        <w:t>阿依古力·依布拉音</w:t>
      </w:r>
    </w:p>
    <w:p w14:paraId="25A75BCD">
      <w:pPr>
        <w:spacing w:line="560" w:lineRule="exact"/>
        <w:ind w:left="420" w:firstLine="420"/>
        <w:rPr>
          <w:rFonts w:ascii="宋体" w:hAnsi="宋体" w:cs="仿宋_GB2312"/>
          <w:color w:val="000000"/>
          <w:kern w:val="0"/>
          <w:sz w:val="30"/>
          <w:szCs w:val="30"/>
        </w:rPr>
      </w:pPr>
      <w:r>
        <w:rPr>
          <w:rFonts w:hint="eastAsia" w:ascii="宋体" w:hAnsi="宋体" w:cs="仿宋_GB2312"/>
          <w:b/>
          <w:bCs/>
          <w:color w:val="000000"/>
          <w:kern w:val="0"/>
          <w:sz w:val="30"/>
          <w:szCs w:val="30"/>
        </w:rPr>
        <w:t>填报时间：</w:t>
      </w:r>
      <w:r>
        <w:rPr>
          <w:rFonts w:hint="eastAsia" w:ascii="宋体" w:hAnsi="宋体" w:cs="仿宋_GB2312"/>
          <w:color w:val="000000"/>
          <w:kern w:val="0"/>
          <w:sz w:val="30"/>
          <w:szCs w:val="30"/>
        </w:rPr>
        <w:t>2025年3月25日</w:t>
      </w:r>
    </w:p>
    <w:p w14:paraId="53E517C1">
      <w:pPr>
        <w:spacing w:line="700" w:lineRule="exact"/>
        <w:jc w:val="left"/>
        <w:rPr>
          <w:rFonts w:eastAsia="仿宋_GB2312"/>
          <w:kern w:val="0"/>
          <w:sz w:val="36"/>
          <w:szCs w:val="36"/>
        </w:rPr>
      </w:pPr>
    </w:p>
    <w:p w14:paraId="6187DBEF">
      <w:pPr>
        <w:spacing w:line="540" w:lineRule="exact"/>
        <w:jc w:val="center"/>
        <w:rPr>
          <w:rFonts w:eastAsia="仿宋_GB2312"/>
          <w:kern w:val="0"/>
          <w:sz w:val="30"/>
          <w:szCs w:val="30"/>
        </w:rPr>
      </w:pPr>
    </w:p>
    <w:p w14:paraId="1E97DEEC">
      <w:pPr>
        <w:spacing w:line="540" w:lineRule="exact"/>
        <w:rPr>
          <w:rStyle w:val="16"/>
          <w:rFonts w:eastAsia="黑体"/>
          <w:b w:val="0"/>
          <w:spacing w:val="-4"/>
          <w:sz w:val="32"/>
          <w:szCs w:val="32"/>
        </w:rPr>
      </w:pPr>
    </w:p>
    <w:p w14:paraId="4ECD4554">
      <w:pPr>
        <w:spacing w:line="560" w:lineRule="exact"/>
        <w:ind w:firstLine="640" w:firstLineChars="200"/>
        <w:rPr>
          <w:rFonts w:eastAsia="黑体"/>
          <w:bCs/>
          <w:sz w:val="32"/>
          <w:szCs w:val="32"/>
        </w:rPr>
      </w:pPr>
      <w:r>
        <w:rPr>
          <w:rFonts w:eastAsia="黑体"/>
          <w:bCs/>
          <w:sz w:val="32"/>
          <w:szCs w:val="32"/>
        </w:rPr>
        <w:t>一、基本情况</w:t>
      </w:r>
    </w:p>
    <w:p w14:paraId="198C27FD">
      <w:pPr>
        <w:spacing w:line="560" w:lineRule="exact"/>
        <w:ind w:firstLine="643" w:firstLineChars="200"/>
        <w:rPr>
          <w:rFonts w:eastAsia="楷体_GB2312"/>
          <w:b/>
          <w:bCs/>
          <w:sz w:val="32"/>
          <w:szCs w:val="32"/>
        </w:rPr>
      </w:pPr>
      <w:r>
        <w:rPr>
          <w:rFonts w:eastAsia="楷体_GB2312"/>
          <w:b/>
          <w:bCs/>
          <w:sz w:val="32"/>
          <w:szCs w:val="32"/>
        </w:rPr>
        <w:t>（一）项目概况</w:t>
      </w:r>
    </w:p>
    <w:p w14:paraId="6D9D3016">
      <w:pPr>
        <w:spacing w:line="600" w:lineRule="exact"/>
        <w:ind w:firstLine="643" w:firstLineChars="200"/>
        <w:rPr>
          <w:rFonts w:eastAsia="仿宋_GB2312"/>
          <w:b/>
          <w:bCs/>
          <w:sz w:val="32"/>
          <w:szCs w:val="32"/>
        </w:rPr>
      </w:pPr>
      <w:r>
        <w:rPr>
          <w:rFonts w:eastAsia="仿宋_GB2312"/>
          <w:b/>
          <w:bCs/>
          <w:sz w:val="32"/>
          <w:szCs w:val="32"/>
        </w:rPr>
        <w:t>1.项目背景</w:t>
      </w:r>
      <w:r>
        <w:rPr>
          <w:rFonts w:hint="eastAsia" w:eastAsia="仿宋_GB2312"/>
          <w:b/>
          <w:bCs/>
          <w:sz w:val="32"/>
          <w:szCs w:val="32"/>
        </w:rPr>
        <w:t>：</w:t>
      </w:r>
    </w:p>
    <w:p w14:paraId="642DDB8A">
      <w:pPr>
        <w:spacing w:line="560" w:lineRule="exact"/>
        <w:ind w:firstLine="600" w:firstLineChars="200"/>
        <w:rPr>
          <w:rFonts w:hint="default" w:ascii="仿宋_GB2312" w:hAnsi="宋体" w:eastAsia="仿宋_GB2312" w:cs="仿宋_GB2312"/>
          <w:color w:val="333333"/>
          <w:sz w:val="30"/>
          <w:szCs w:val="30"/>
          <w:shd w:val="clear" w:color="auto" w:fill="FFFFFF"/>
          <w:lang w:val="en-US" w:eastAsia="zh-CN"/>
        </w:rPr>
      </w:pPr>
      <w:r>
        <w:rPr>
          <w:rFonts w:hint="eastAsia" w:ascii="仿宋_GB2312" w:hAnsi="宋体" w:eastAsia="仿宋_GB2312" w:cs="仿宋_GB2312"/>
          <w:color w:val="333333"/>
          <w:sz w:val="30"/>
          <w:szCs w:val="30"/>
          <w:shd w:val="clear" w:color="auto" w:fill="FFFFFF"/>
        </w:rPr>
        <w:t>坚持党的全面领导，始终保持正确政治方向</w:t>
      </w:r>
      <w:r>
        <w:rPr>
          <w:rFonts w:hint="eastAsia" w:ascii="仿宋_GB2312" w:hAnsi="宋体" w:eastAsia="仿宋_GB2312" w:cs="仿宋_GB2312"/>
          <w:color w:val="333333"/>
          <w:sz w:val="30"/>
          <w:szCs w:val="30"/>
          <w:shd w:val="clear" w:color="auto" w:fill="FFFFFF"/>
          <w:lang w:eastAsia="zh-CN"/>
        </w:rPr>
        <w:t>，</w:t>
      </w:r>
      <w:r>
        <w:rPr>
          <w:rFonts w:hint="eastAsia" w:ascii="仿宋_GB2312" w:hAnsi="宋体" w:eastAsia="仿宋_GB2312" w:cs="仿宋_GB2312"/>
          <w:color w:val="333333"/>
          <w:sz w:val="30"/>
          <w:szCs w:val="30"/>
          <w:shd w:val="clear" w:color="auto" w:fill="FFFFFF"/>
        </w:rPr>
        <w:t>以党的建设为引领，构建起“政协党组+机关党支部+委员联络站（室）党员”的履职“一条线”党组织体系，把思想政治理论学习摆在各项工作首位，积极组织县政协机关干部和政协委员深入学习习近平总书记系列重要讲话精神，深入学习党中央关于人民政协的路线方针政策和政协业务知识，不断提高基层政协委员的履职能力</w:t>
      </w:r>
      <w:r>
        <w:rPr>
          <w:rFonts w:hint="eastAsia" w:ascii="仿宋_GB2312" w:hAnsi="宋体" w:eastAsia="仿宋_GB2312" w:cs="仿宋_GB2312"/>
          <w:color w:val="333333"/>
          <w:sz w:val="30"/>
          <w:szCs w:val="30"/>
          <w:shd w:val="clear" w:color="auto" w:fill="FFFFFF"/>
          <w:lang w:eastAsia="zh-CN"/>
        </w:rPr>
        <w:t>，</w:t>
      </w:r>
      <w:r>
        <w:rPr>
          <w:rFonts w:hint="eastAsia" w:ascii="仿宋_GB2312" w:hAnsi="宋体" w:eastAsia="仿宋_GB2312" w:cs="仿宋_GB2312"/>
          <w:color w:val="333333"/>
          <w:sz w:val="30"/>
          <w:szCs w:val="30"/>
          <w:shd w:val="clear" w:color="auto" w:fill="FFFFFF"/>
          <w:lang w:val="en-US" w:eastAsia="zh-CN"/>
        </w:rPr>
        <w:t>为此设立此项目。</w:t>
      </w:r>
    </w:p>
    <w:p w14:paraId="2B3B6137">
      <w:pPr>
        <w:pStyle w:val="2"/>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14:paraId="0619402D">
      <w:pPr>
        <w:spacing w:line="560" w:lineRule="exact"/>
        <w:ind w:firstLine="600" w:firstLineChars="200"/>
        <w:rPr>
          <w:rFonts w:ascii="仿宋_GB2312" w:hAnsi="宋体" w:eastAsia="仿宋_GB2312" w:cs="仿宋_GB2312"/>
          <w:color w:val="333333"/>
          <w:sz w:val="30"/>
          <w:szCs w:val="30"/>
          <w:shd w:val="clear" w:color="auto" w:fill="FFFFFF"/>
        </w:rPr>
      </w:pPr>
      <w:r>
        <w:rPr>
          <w:rFonts w:hint="eastAsia" w:ascii="楷体" w:hAnsi="楷体" w:eastAsia="楷体" w:cs="楷体"/>
          <w:sz w:val="30"/>
          <w:szCs w:val="30"/>
        </w:rPr>
        <w:t>项目主要内容：</w:t>
      </w:r>
      <w:r>
        <w:rPr>
          <w:rFonts w:hint="eastAsia" w:ascii="仿宋_GB2312" w:hAnsi="宋体" w:eastAsia="仿宋_GB2312" w:cs="仿宋_GB2312"/>
          <w:color w:val="333333"/>
          <w:sz w:val="30"/>
          <w:szCs w:val="30"/>
          <w:shd w:val="clear" w:color="auto" w:fill="FFFFFF"/>
        </w:rPr>
        <w:t>根据单位职能组织</w:t>
      </w:r>
      <w:r>
        <w:rPr>
          <w:rFonts w:hint="eastAsia" w:ascii="仿宋_GB2312" w:hAnsi="宋体" w:eastAsia="仿宋_GB2312" w:cs="仿宋_GB2312"/>
          <w:color w:val="333333"/>
          <w:sz w:val="30"/>
          <w:szCs w:val="30"/>
          <w:shd w:val="clear" w:color="auto" w:fill="FFFFFF"/>
          <w:lang w:val="en-US" w:eastAsia="zh-CN"/>
        </w:rPr>
        <w:t>政协</w:t>
      </w:r>
      <w:r>
        <w:rPr>
          <w:rFonts w:hint="eastAsia" w:ascii="仿宋_GB2312" w:hAnsi="宋体" w:eastAsia="仿宋_GB2312" w:cs="仿宋_GB2312"/>
          <w:color w:val="333333"/>
          <w:sz w:val="30"/>
          <w:szCs w:val="30"/>
          <w:shd w:val="clear" w:color="auto" w:fill="FFFFFF"/>
        </w:rPr>
        <w:t>委员参加培训、视察、调研</w:t>
      </w:r>
      <w:r>
        <w:rPr>
          <w:rFonts w:hint="eastAsia" w:ascii="仿宋_GB2312" w:hAnsi="宋体" w:eastAsia="仿宋_GB2312" w:cs="仿宋_GB2312"/>
          <w:color w:val="333333"/>
          <w:sz w:val="30"/>
          <w:szCs w:val="30"/>
          <w:shd w:val="clear" w:color="auto" w:fill="FFFFFF"/>
          <w:lang w:eastAsia="zh-CN"/>
        </w:rPr>
        <w:t>、</w:t>
      </w:r>
      <w:r>
        <w:rPr>
          <w:rFonts w:hint="eastAsia" w:ascii="仿宋_GB2312" w:hAnsi="宋体" w:eastAsia="仿宋_GB2312" w:cs="仿宋_GB2312"/>
          <w:color w:val="333333"/>
          <w:sz w:val="30"/>
          <w:szCs w:val="30"/>
          <w:shd w:val="clear" w:color="auto" w:fill="FFFFFF"/>
          <w:lang w:val="en-US" w:eastAsia="zh-CN"/>
        </w:rPr>
        <w:t>收集社情民意</w:t>
      </w:r>
      <w:r>
        <w:rPr>
          <w:rFonts w:hint="eastAsia" w:ascii="仿宋_GB2312" w:hAnsi="宋体" w:eastAsia="仿宋_GB2312" w:cs="仿宋_GB2312"/>
          <w:color w:val="333333"/>
          <w:sz w:val="30"/>
          <w:szCs w:val="30"/>
          <w:shd w:val="clear" w:color="auto" w:fill="FFFFFF"/>
        </w:rPr>
        <w:t>等</w:t>
      </w:r>
      <w:r>
        <w:rPr>
          <w:rFonts w:hint="eastAsia" w:ascii="仿宋_GB2312" w:hAnsi="宋体" w:eastAsia="仿宋_GB2312" w:cs="仿宋_GB2312"/>
          <w:color w:val="333333"/>
          <w:sz w:val="30"/>
          <w:szCs w:val="30"/>
          <w:shd w:val="clear" w:color="auto" w:fill="FFFFFF"/>
          <w:lang w:val="en-US" w:eastAsia="zh-CN"/>
        </w:rPr>
        <w:t>工作</w:t>
      </w:r>
      <w:r>
        <w:rPr>
          <w:rFonts w:hint="eastAsia" w:ascii="仿宋_GB2312" w:hAnsi="宋体" w:eastAsia="仿宋_GB2312" w:cs="仿宋_GB2312"/>
          <w:color w:val="333333"/>
          <w:sz w:val="30"/>
          <w:szCs w:val="30"/>
          <w:shd w:val="clear" w:color="auto" w:fill="FFFFFF"/>
        </w:rPr>
        <w:t>，</w:t>
      </w:r>
      <w:r>
        <w:rPr>
          <w:rFonts w:hint="eastAsia" w:ascii="仿宋_GB2312" w:hAnsi="宋体" w:eastAsia="仿宋_GB2312" w:cs="仿宋_GB2312"/>
          <w:color w:val="333333"/>
          <w:sz w:val="30"/>
          <w:szCs w:val="30"/>
          <w:shd w:val="clear" w:color="auto" w:fill="FFFFFF"/>
          <w:lang w:val="en-US" w:eastAsia="zh-CN"/>
        </w:rPr>
        <w:t>保障</w:t>
      </w:r>
      <w:r>
        <w:rPr>
          <w:rFonts w:hint="eastAsia" w:ascii="仿宋_GB2312" w:hAnsi="宋体" w:eastAsia="仿宋_GB2312" w:cs="仿宋_GB2312"/>
          <w:color w:val="333333"/>
          <w:sz w:val="30"/>
          <w:szCs w:val="30"/>
          <w:shd w:val="clear" w:color="auto" w:fill="FFFFFF"/>
        </w:rPr>
        <w:t>政协</w:t>
      </w:r>
      <w:r>
        <w:rPr>
          <w:rFonts w:hint="eastAsia" w:ascii="仿宋_GB2312" w:hAnsi="宋体" w:eastAsia="仿宋_GB2312" w:cs="仿宋_GB2312"/>
          <w:color w:val="333333"/>
          <w:sz w:val="30"/>
          <w:szCs w:val="30"/>
          <w:shd w:val="clear" w:color="auto" w:fill="FFFFFF"/>
          <w:lang w:val="en-US" w:eastAsia="zh-CN"/>
        </w:rPr>
        <w:t>委员</w:t>
      </w:r>
      <w:r>
        <w:rPr>
          <w:rFonts w:hint="eastAsia" w:ascii="仿宋_GB2312" w:hAnsi="宋体" w:eastAsia="仿宋_GB2312" w:cs="仿宋_GB2312"/>
          <w:color w:val="333333"/>
          <w:sz w:val="30"/>
          <w:szCs w:val="30"/>
          <w:shd w:val="clear" w:color="auto" w:fill="FFFFFF"/>
        </w:rPr>
        <w:t>对</w:t>
      </w:r>
      <w:r>
        <w:rPr>
          <w:rFonts w:hint="eastAsia" w:ascii="仿宋_GB2312" w:hAnsi="宋体" w:eastAsia="仿宋_GB2312" w:cs="仿宋_GB2312"/>
          <w:color w:val="333333"/>
          <w:sz w:val="30"/>
          <w:szCs w:val="30"/>
          <w:shd w:val="clear" w:color="auto" w:fill="FFFFFF"/>
          <w:lang w:val="en-US" w:eastAsia="zh-CN"/>
        </w:rPr>
        <w:t>县政协的日常工作、</w:t>
      </w:r>
      <w:r>
        <w:rPr>
          <w:rFonts w:hint="eastAsia" w:ascii="仿宋_GB2312" w:hAnsi="宋体" w:eastAsia="仿宋_GB2312" w:cs="仿宋_GB2312"/>
          <w:color w:val="333333"/>
          <w:sz w:val="30"/>
          <w:szCs w:val="30"/>
          <w:shd w:val="clear" w:color="auto" w:fill="FFFFFF"/>
        </w:rPr>
        <w:t>收集社情民意</w:t>
      </w:r>
      <w:r>
        <w:rPr>
          <w:rFonts w:hint="eastAsia" w:ascii="仿宋_GB2312" w:hAnsi="宋体" w:eastAsia="仿宋_GB2312" w:cs="仿宋_GB2312"/>
          <w:color w:val="333333"/>
          <w:sz w:val="30"/>
          <w:szCs w:val="30"/>
          <w:shd w:val="clear" w:color="auto" w:fill="FFFFFF"/>
          <w:lang w:val="en-US" w:eastAsia="zh-CN"/>
        </w:rPr>
        <w:t>等</w:t>
      </w:r>
      <w:r>
        <w:rPr>
          <w:rFonts w:hint="eastAsia" w:ascii="仿宋_GB2312" w:hAnsi="宋体" w:eastAsia="仿宋_GB2312" w:cs="仿宋_GB2312"/>
          <w:color w:val="333333"/>
          <w:sz w:val="30"/>
          <w:szCs w:val="30"/>
          <w:shd w:val="clear" w:color="auto" w:fill="FFFFFF"/>
        </w:rPr>
        <w:t>各项工作</w:t>
      </w:r>
      <w:r>
        <w:rPr>
          <w:rFonts w:hint="eastAsia" w:ascii="仿宋_GB2312" w:hAnsi="宋体" w:eastAsia="仿宋_GB2312" w:cs="仿宋_GB2312"/>
          <w:color w:val="333333"/>
          <w:sz w:val="30"/>
          <w:szCs w:val="30"/>
          <w:shd w:val="clear" w:color="auto" w:fill="FFFFFF"/>
          <w:lang w:val="en-US" w:eastAsia="zh-CN"/>
        </w:rPr>
        <w:t>能够</w:t>
      </w:r>
      <w:r>
        <w:rPr>
          <w:rFonts w:hint="eastAsia" w:ascii="仿宋_GB2312" w:hAnsi="宋体" w:eastAsia="仿宋_GB2312" w:cs="仿宋_GB2312"/>
          <w:color w:val="333333"/>
          <w:sz w:val="30"/>
          <w:szCs w:val="30"/>
          <w:shd w:val="clear" w:color="auto" w:fill="FFFFFF"/>
        </w:rPr>
        <w:t>正常开展。</w:t>
      </w:r>
    </w:p>
    <w:p w14:paraId="5B05DD04">
      <w:pPr>
        <w:spacing w:line="560" w:lineRule="exact"/>
        <w:ind w:firstLine="600" w:firstLineChars="200"/>
        <w:rPr>
          <w:rFonts w:ascii="仿宋_GB2312" w:hAnsi="宋体" w:eastAsia="仿宋_GB2312" w:cs="仿宋_GB2312"/>
          <w:color w:val="333333"/>
          <w:sz w:val="30"/>
          <w:szCs w:val="30"/>
          <w:shd w:val="clear" w:color="auto" w:fill="FFFFFF"/>
        </w:rPr>
      </w:pPr>
      <w:r>
        <w:rPr>
          <w:rFonts w:ascii="楷体" w:hAnsi="楷体" w:eastAsia="楷体" w:cs="楷体"/>
          <w:sz w:val="30"/>
          <w:szCs w:val="30"/>
        </w:rPr>
        <w:t>项目实施情况：</w:t>
      </w:r>
      <w:bookmarkStart w:id="1" w:name="OLE_LINK6"/>
      <w:r>
        <w:rPr>
          <w:rFonts w:hint="eastAsia" w:ascii="仿宋_GB2312" w:hAnsi="宋体" w:eastAsia="仿宋_GB2312" w:cs="仿宋_GB2312"/>
          <w:color w:val="333333"/>
          <w:sz w:val="30"/>
          <w:szCs w:val="30"/>
          <w:shd w:val="clear" w:color="auto" w:fill="FFFFFF"/>
          <w:lang w:val="en-US" w:eastAsia="zh-CN"/>
        </w:rPr>
        <w:t>本年度打造基</w:t>
      </w:r>
      <w:r>
        <w:rPr>
          <w:rFonts w:hint="eastAsia" w:ascii="仿宋_GB2312" w:hAnsi="宋体" w:eastAsia="仿宋_GB2312" w:cs="仿宋_GB2312"/>
          <w:color w:val="333333"/>
          <w:sz w:val="30"/>
          <w:szCs w:val="30"/>
          <w:shd w:val="clear" w:color="auto" w:fill="FFFFFF"/>
        </w:rPr>
        <w:t>层政协委员联络站1个，</w:t>
      </w:r>
      <w:bookmarkStart w:id="2" w:name="OLE_LINK4"/>
      <w:r>
        <w:rPr>
          <w:rFonts w:hint="eastAsia" w:ascii="仿宋_GB2312" w:hAnsi="宋体" w:eastAsia="仿宋_GB2312" w:cs="仿宋_GB2312"/>
          <w:color w:val="333333"/>
          <w:sz w:val="30"/>
          <w:szCs w:val="30"/>
          <w:shd w:val="clear" w:color="auto" w:fill="FFFFFF"/>
          <w:lang w:val="en-US" w:eastAsia="zh-CN"/>
        </w:rPr>
        <w:t>完成</w:t>
      </w:r>
      <w:r>
        <w:rPr>
          <w:rFonts w:hint="eastAsia" w:ascii="仿宋_GB2312" w:hAnsi="宋体" w:eastAsia="仿宋_GB2312" w:cs="仿宋_GB2312"/>
          <w:color w:val="333333"/>
          <w:sz w:val="30"/>
          <w:szCs w:val="30"/>
          <w:shd w:val="clear" w:color="auto" w:fill="FFFFFF"/>
        </w:rPr>
        <w:t>105名政协委员视察、调研、委员参加培训</w:t>
      </w:r>
      <w:r>
        <w:rPr>
          <w:rFonts w:hint="eastAsia" w:ascii="仿宋_GB2312" w:hAnsi="宋体" w:eastAsia="仿宋_GB2312" w:cs="仿宋_GB2312"/>
          <w:color w:val="333333"/>
          <w:sz w:val="30"/>
          <w:szCs w:val="30"/>
          <w:shd w:val="clear" w:color="auto" w:fill="FFFFFF"/>
          <w:lang w:eastAsia="zh-CN"/>
        </w:rPr>
        <w:t>，</w:t>
      </w:r>
      <w:r>
        <w:rPr>
          <w:rFonts w:hint="eastAsia" w:ascii="仿宋_GB2312" w:hAnsi="宋体" w:eastAsia="仿宋_GB2312" w:cs="仿宋_GB2312"/>
          <w:color w:val="333333"/>
          <w:sz w:val="30"/>
          <w:szCs w:val="30"/>
          <w:shd w:val="clear" w:color="auto" w:fill="FFFFFF"/>
        </w:rPr>
        <w:t>通过</w:t>
      </w:r>
      <w:r>
        <w:rPr>
          <w:rFonts w:hint="eastAsia" w:ascii="仿宋_GB2312" w:hAnsi="宋体" w:eastAsia="仿宋_GB2312" w:cs="仿宋_GB2312"/>
          <w:color w:val="333333"/>
          <w:sz w:val="30"/>
          <w:szCs w:val="30"/>
          <w:shd w:val="clear" w:color="auto" w:fill="FFFFFF"/>
          <w:lang w:val="en-US" w:eastAsia="zh-CN"/>
        </w:rPr>
        <w:t>开展</w:t>
      </w:r>
      <w:r>
        <w:rPr>
          <w:rFonts w:hint="eastAsia" w:ascii="仿宋_GB2312" w:hAnsi="宋体" w:eastAsia="仿宋_GB2312" w:cs="仿宋_GB2312"/>
          <w:color w:val="333333"/>
          <w:sz w:val="30"/>
          <w:szCs w:val="30"/>
          <w:shd w:val="clear" w:color="auto" w:fill="FFFFFF"/>
        </w:rPr>
        <w:t>视察</w:t>
      </w:r>
      <w:r>
        <w:rPr>
          <w:rFonts w:hint="eastAsia" w:ascii="仿宋_GB2312" w:hAnsi="宋体" w:eastAsia="仿宋_GB2312" w:cs="仿宋_GB2312"/>
          <w:color w:val="333333"/>
          <w:sz w:val="30"/>
          <w:szCs w:val="30"/>
          <w:shd w:val="clear" w:color="auto" w:fill="FFFFFF"/>
          <w:lang w:eastAsia="zh-CN"/>
        </w:rPr>
        <w:t>、</w:t>
      </w:r>
      <w:r>
        <w:rPr>
          <w:rFonts w:hint="eastAsia" w:ascii="仿宋_GB2312" w:hAnsi="宋体" w:eastAsia="仿宋_GB2312" w:cs="仿宋_GB2312"/>
          <w:color w:val="333333"/>
          <w:sz w:val="30"/>
          <w:szCs w:val="30"/>
          <w:shd w:val="clear" w:color="auto" w:fill="FFFFFF"/>
        </w:rPr>
        <w:t>调研</w:t>
      </w:r>
      <w:r>
        <w:rPr>
          <w:rFonts w:hint="eastAsia" w:ascii="仿宋_GB2312" w:hAnsi="宋体" w:eastAsia="仿宋_GB2312" w:cs="仿宋_GB2312"/>
          <w:color w:val="333333"/>
          <w:sz w:val="30"/>
          <w:szCs w:val="30"/>
          <w:shd w:val="clear" w:color="auto" w:fill="FFFFFF"/>
          <w:lang w:eastAsia="zh-CN"/>
        </w:rPr>
        <w:t>、</w:t>
      </w:r>
      <w:r>
        <w:rPr>
          <w:rFonts w:hint="eastAsia" w:ascii="仿宋_GB2312" w:hAnsi="宋体" w:eastAsia="仿宋_GB2312" w:cs="仿宋_GB2312"/>
          <w:color w:val="333333"/>
          <w:sz w:val="30"/>
          <w:szCs w:val="30"/>
          <w:shd w:val="clear" w:color="auto" w:fill="FFFFFF"/>
          <w:lang w:val="en-US" w:eastAsia="zh-CN"/>
        </w:rPr>
        <w:t>参加培训</w:t>
      </w:r>
      <w:r>
        <w:rPr>
          <w:rFonts w:hint="eastAsia" w:ascii="仿宋_GB2312" w:hAnsi="宋体" w:eastAsia="仿宋_GB2312" w:cs="仿宋_GB2312"/>
          <w:color w:val="333333"/>
          <w:sz w:val="30"/>
          <w:szCs w:val="30"/>
          <w:shd w:val="clear" w:color="auto" w:fill="FFFFFF"/>
        </w:rPr>
        <w:t>等活动，强化政策措施，提升发展</w:t>
      </w:r>
      <w:r>
        <w:rPr>
          <w:rFonts w:hint="eastAsia" w:ascii="仿宋_GB2312" w:hAnsi="宋体" w:eastAsia="仿宋_GB2312" w:cs="仿宋_GB2312"/>
          <w:color w:val="333333"/>
          <w:sz w:val="30"/>
          <w:szCs w:val="30"/>
          <w:shd w:val="clear" w:color="auto" w:fill="FFFFFF"/>
          <w:lang w:val="en-US" w:eastAsia="zh-CN"/>
        </w:rPr>
        <w:t>经济</w:t>
      </w:r>
      <w:r>
        <w:rPr>
          <w:rFonts w:hint="eastAsia" w:ascii="仿宋_GB2312" w:hAnsi="宋体" w:eastAsia="仿宋_GB2312" w:cs="仿宋_GB2312"/>
          <w:color w:val="333333"/>
          <w:sz w:val="30"/>
          <w:szCs w:val="30"/>
          <w:shd w:val="clear" w:color="auto" w:fill="FFFFFF"/>
        </w:rPr>
        <w:t>等手段，帮助县委、县人民政府</w:t>
      </w:r>
      <w:r>
        <w:rPr>
          <w:rFonts w:hint="eastAsia" w:ascii="仿宋_GB2312" w:hAnsi="宋体" w:eastAsia="仿宋_GB2312" w:cs="仿宋_GB2312"/>
          <w:color w:val="333333"/>
          <w:sz w:val="30"/>
          <w:szCs w:val="30"/>
          <w:shd w:val="clear" w:color="auto" w:fill="FFFFFF"/>
          <w:lang w:val="en-US" w:eastAsia="zh-CN"/>
        </w:rPr>
        <w:t>经济</w:t>
      </w:r>
      <w:r>
        <w:rPr>
          <w:rFonts w:hint="eastAsia" w:ascii="仿宋_GB2312" w:hAnsi="宋体" w:eastAsia="仿宋_GB2312" w:cs="仿宋_GB2312"/>
          <w:color w:val="333333"/>
          <w:sz w:val="30"/>
          <w:szCs w:val="30"/>
          <w:shd w:val="clear" w:color="auto" w:fill="FFFFFF"/>
        </w:rPr>
        <w:t>稳步发展</w:t>
      </w:r>
      <w:r>
        <w:rPr>
          <w:rFonts w:hint="eastAsia" w:ascii="仿宋_GB2312" w:hAnsi="宋体" w:eastAsia="仿宋_GB2312" w:cs="仿宋_GB2312"/>
          <w:color w:val="333333"/>
          <w:sz w:val="30"/>
          <w:szCs w:val="30"/>
          <w:shd w:val="clear" w:color="auto" w:fill="FFFFFF"/>
          <w:lang w:eastAsia="zh-CN"/>
        </w:rPr>
        <w:t>，</w:t>
      </w:r>
      <w:r>
        <w:rPr>
          <w:rFonts w:hint="eastAsia" w:ascii="仿宋_GB2312" w:hAnsi="宋体" w:eastAsia="仿宋_GB2312" w:cs="仿宋_GB2312"/>
          <w:color w:val="333333"/>
          <w:sz w:val="30"/>
          <w:szCs w:val="30"/>
          <w:shd w:val="clear" w:color="auto" w:fill="FFFFFF"/>
          <w:lang w:val="en-US" w:eastAsia="zh-CN"/>
        </w:rPr>
        <w:t>能够提高委员履行职能</w:t>
      </w:r>
      <w:r>
        <w:rPr>
          <w:rFonts w:hint="eastAsia" w:ascii="仿宋_GB2312" w:hAnsi="宋体" w:eastAsia="仿宋_GB2312" w:cs="仿宋_GB2312"/>
          <w:color w:val="333333"/>
          <w:sz w:val="30"/>
          <w:szCs w:val="30"/>
          <w:shd w:val="clear" w:color="auto" w:fill="FFFFFF"/>
        </w:rPr>
        <w:t>。</w:t>
      </w:r>
      <w:bookmarkEnd w:id="1"/>
      <w:bookmarkEnd w:id="2"/>
    </w:p>
    <w:p w14:paraId="3661B9E0">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660466F9">
      <w:pPr>
        <w:spacing w:line="520" w:lineRule="exact"/>
        <w:ind w:firstLine="600" w:firstLineChars="200"/>
        <w:rPr>
          <w:rFonts w:ascii="楷体" w:hAnsi="楷体" w:eastAsia="楷体" w:cs="楷体"/>
          <w:sz w:val="30"/>
          <w:szCs w:val="30"/>
        </w:rPr>
      </w:pPr>
      <w:r>
        <w:rPr>
          <w:rFonts w:ascii="楷体" w:hAnsi="楷体" w:eastAsia="楷体" w:cs="楷体"/>
          <w:sz w:val="30"/>
          <w:szCs w:val="30"/>
        </w:rPr>
        <w:t>（1）资金投入情况</w:t>
      </w:r>
    </w:p>
    <w:p w14:paraId="72C07CDC">
      <w:pPr>
        <w:spacing w:line="520" w:lineRule="exact"/>
        <w:ind w:firstLine="600" w:firstLineChars="200"/>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该项目年初预算数5万元，全年预算数5万元，实际总投入5万元，该项目资金已全部落实到位，资金来源为财政拨款。</w:t>
      </w:r>
    </w:p>
    <w:p w14:paraId="40DA2AC9">
      <w:pPr>
        <w:spacing w:line="520" w:lineRule="exact"/>
        <w:ind w:firstLine="600" w:firstLineChars="200"/>
        <w:rPr>
          <w:rFonts w:ascii="楷体" w:hAnsi="楷体" w:eastAsia="楷体" w:cs="楷体"/>
          <w:sz w:val="30"/>
          <w:szCs w:val="30"/>
        </w:rPr>
      </w:pPr>
      <w:r>
        <w:rPr>
          <w:rFonts w:ascii="楷体" w:hAnsi="楷体" w:eastAsia="楷体" w:cs="楷体"/>
          <w:sz w:val="30"/>
          <w:szCs w:val="30"/>
        </w:rPr>
        <w:t>（2）资金使用情况</w:t>
      </w:r>
      <w:bookmarkStart w:id="50" w:name="_GoBack"/>
    </w:p>
    <w:p w14:paraId="35B603AA">
      <w:pPr>
        <w:spacing w:line="520" w:lineRule="exact"/>
        <w:ind w:firstLine="600" w:firstLineChars="200"/>
        <w:rPr>
          <w:rFonts w:hint="eastAsia" w:ascii="仿宋_GB2312" w:hAnsi="宋体" w:eastAsia="仿宋_GB2312" w:cs="仿宋_GB2312"/>
          <w:color w:val="333333"/>
          <w:sz w:val="30"/>
          <w:szCs w:val="30"/>
          <w:shd w:val="clear" w:color="auto" w:fill="FFFFFF"/>
        </w:rPr>
      </w:pPr>
      <w:bookmarkStart w:id="3" w:name="OLE_LINK5"/>
      <w:r>
        <w:rPr>
          <w:rFonts w:hint="eastAsia" w:ascii="仿宋_GB2312" w:hAnsi="宋体" w:eastAsia="仿宋_GB2312" w:cs="仿宋_GB2312"/>
          <w:color w:val="333333"/>
          <w:sz w:val="30"/>
          <w:szCs w:val="30"/>
          <w:shd w:val="clear" w:color="auto" w:fill="FFFFFF"/>
        </w:rPr>
        <w:t>该项目年初预算数5万元，全年预算数5万元，全年执行数4.97万元，预算执行率为99.40%，主要用于：</w:t>
      </w:r>
      <w:r>
        <w:rPr>
          <w:rFonts w:hint="eastAsia" w:ascii="仿宋_GB2312" w:hAnsi="宋体" w:eastAsia="仿宋_GB2312" w:cs="仿宋_GB2312"/>
          <w:color w:val="333333"/>
          <w:sz w:val="30"/>
          <w:szCs w:val="30"/>
          <w:shd w:val="clear" w:color="auto" w:fill="FFFFFF"/>
          <w:lang w:val="en-US" w:eastAsia="zh-CN"/>
        </w:rPr>
        <w:t>人均运转经费476</w:t>
      </w:r>
      <w:bookmarkEnd w:id="50"/>
      <w:r>
        <w:rPr>
          <w:rFonts w:hint="eastAsia" w:ascii="仿宋_GB2312" w:hAnsi="宋体" w:eastAsia="仿宋_GB2312" w:cs="仿宋_GB2312"/>
          <w:color w:val="333333"/>
          <w:sz w:val="30"/>
          <w:szCs w:val="30"/>
          <w:shd w:val="clear" w:color="auto" w:fill="FFFFFF"/>
          <w:lang w:val="en-US" w:eastAsia="zh-CN"/>
        </w:rPr>
        <w:t>元，保障</w:t>
      </w:r>
      <w:r>
        <w:rPr>
          <w:rFonts w:hint="eastAsia" w:ascii="仿宋_GB2312" w:hAnsi="宋体" w:eastAsia="仿宋_GB2312" w:cs="仿宋_GB2312"/>
          <w:color w:val="333333"/>
          <w:sz w:val="30"/>
          <w:szCs w:val="30"/>
          <w:shd w:val="clear" w:color="auto" w:fill="FFFFFF"/>
        </w:rPr>
        <w:t>105名政协委员</w:t>
      </w:r>
      <w:r>
        <w:rPr>
          <w:rFonts w:hint="eastAsia" w:ascii="仿宋_GB2312" w:hAnsi="宋体" w:eastAsia="仿宋_GB2312" w:cs="仿宋_GB2312"/>
          <w:color w:val="333333"/>
          <w:sz w:val="30"/>
          <w:szCs w:val="30"/>
          <w:shd w:val="clear" w:color="auto" w:fill="FFFFFF"/>
          <w:lang w:val="en-US" w:eastAsia="zh-CN"/>
        </w:rPr>
        <w:t>开展</w:t>
      </w:r>
      <w:r>
        <w:rPr>
          <w:rFonts w:hint="eastAsia" w:ascii="仿宋_GB2312" w:hAnsi="宋体" w:eastAsia="仿宋_GB2312" w:cs="仿宋_GB2312"/>
          <w:color w:val="333333"/>
          <w:sz w:val="30"/>
          <w:szCs w:val="30"/>
          <w:shd w:val="clear" w:color="auto" w:fill="FFFFFF"/>
        </w:rPr>
        <w:t>视察、调研、</w:t>
      </w:r>
      <w:bookmarkEnd w:id="3"/>
      <w:r>
        <w:rPr>
          <w:rFonts w:hint="eastAsia" w:ascii="仿宋_GB2312" w:hAnsi="宋体" w:eastAsia="仿宋_GB2312" w:cs="仿宋_GB2312"/>
          <w:color w:val="333333"/>
          <w:sz w:val="30"/>
          <w:szCs w:val="30"/>
          <w:shd w:val="clear" w:color="auto" w:fill="FFFFFF"/>
        </w:rPr>
        <w:t>委员参加培训</w:t>
      </w:r>
      <w:r>
        <w:rPr>
          <w:rFonts w:hint="eastAsia" w:ascii="仿宋_GB2312" w:hAnsi="宋体" w:eastAsia="仿宋_GB2312" w:cs="仿宋_GB2312"/>
          <w:color w:val="333333"/>
          <w:sz w:val="30"/>
          <w:szCs w:val="30"/>
          <w:shd w:val="clear" w:color="auto" w:fill="FFFFFF"/>
          <w:lang w:val="en-US" w:eastAsia="zh-CN"/>
        </w:rPr>
        <w:t>等</w:t>
      </w:r>
      <w:r>
        <w:rPr>
          <w:rFonts w:hint="eastAsia" w:ascii="仿宋_GB2312" w:hAnsi="宋体" w:eastAsia="仿宋_GB2312" w:cs="仿宋_GB2312"/>
          <w:color w:val="333333"/>
          <w:sz w:val="30"/>
          <w:szCs w:val="30"/>
          <w:shd w:val="clear" w:color="auto" w:fill="FFFFFF"/>
        </w:rPr>
        <w:t>活动，提</w:t>
      </w:r>
      <w:r>
        <w:rPr>
          <w:rFonts w:hint="eastAsia" w:ascii="仿宋_GB2312" w:hAnsi="宋体" w:eastAsia="仿宋_GB2312" w:cs="仿宋_GB2312"/>
          <w:color w:val="333333"/>
          <w:sz w:val="30"/>
          <w:szCs w:val="30"/>
          <w:shd w:val="clear" w:color="auto" w:fill="FFFFFF"/>
          <w:lang w:val="en-US" w:eastAsia="zh-CN"/>
        </w:rPr>
        <w:t>高</w:t>
      </w:r>
      <w:r>
        <w:rPr>
          <w:rFonts w:hint="eastAsia" w:ascii="仿宋_GB2312" w:hAnsi="宋体" w:eastAsia="仿宋_GB2312" w:cs="仿宋_GB2312"/>
          <w:color w:val="333333"/>
          <w:sz w:val="30"/>
          <w:szCs w:val="30"/>
          <w:shd w:val="clear" w:color="auto" w:fill="FFFFFF"/>
        </w:rPr>
        <w:t>政协委员工作效率，改善政协委员联络站和基层政协办公环境，增强了委员履职能力。</w:t>
      </w:r>
    </w:p>
    <w:p w14:paraId="4CF58AA9">
      <w:pPr>
        <w:spacing w:line="560" w:lineRule="exact"/>
        <w:ind w:firstLine="643" w:firstLineChars="200"/>
        <w:rPr>
          <w:rFonts w:eastAsia="楷体_GB2312"/>
          <w:b/>
          <w:bCs/>
          <w:sz w:val="32"/>
          <w:szCs w:val="32"/>
        </w:rPr>
      </w:pPr>
      <w:r>
        <w:rPr>
          <w:rFonts w:eastAsia="楷体_GB2312"/>
          <w:b/>
          <w:bCs/>
          <w:sz w:val="32"/>
          <w:szCs w:val="32"/>
        </w:rPr>
        <w:t>（二）项目绩效目标</w:t>
      </w:r>
    </w:p>
    <w:p w14:paraId="5A27EAB9">
      <w:pPr>
        <w:spacing w:line="520" w:lineRule="exact"/>
        <w:ind w:firstLine="600" w:firstLineChars="200"/>
        <w:rPr>
          <w:rFonts w:ascii="楷体" w:hAnsi="楷体" w:eastAsia="楷体" w:cs="楷体"/>
          <w:sz w:val="30"/>
          <w:szCs w:val="30"/>
        </w:rPr>
      </w:pPr>
      <w:r>
        <w:rPr>
          <w:rFonts w:ascii="楷体" w:hAnsi="楷体" w:eastAsia="楷体" w:cs="楷体"/>
          <w:sz w:val="30"/>
          <w:szCs w:val="30"/>
        </w:rPr>
        <w:t>1.总体目标</w:t>
      </w:r>
    </w:p>
    <w:p w14:paraId="0B4EF000">
      <w:pPr>
        <w:spacing w:line="560" w:lineRule="exact"/>
        <w:ind w:firstLine="600" w:firstLineChars="200"/>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根据政协职能与参政议政、民主监督等文件要求，通过组织政协委员开展各种视察、调研、专题议政等各项履职活动，达到更好发挥专门协商机构作用，加强基层政协工作，保障105名政协委员在视察、委员调研等各项工作顺利开展，不断提高履职尽责的能力。</w:t>
      </w:r>
    </w:p>
    <w:p w14:paraId="20DFF3DA">
      <w:pPr>
        <w:spacing w:line="560" w:lineRule="exact"/>
        <w:ind w:firstLine="600" w:firstLineChars="200"/>
        <w:rPr>
          <w:rFonts w:eastAsia="仿宋_GB2312"/>
          <w:color w:val="FF0000"/>
          <w:sz w:val="30"/>
          <w:szCs w:val="30"/>
        </w:rPr>
      </w:pPr>
      <w:r>
        <w:rPr>
          <w:rFonts w:ascii="楷体" w:hAnsi="楷体" w:eastAsia="楷体" w:cs="楷体"/>
          <w:sz w:val="30"/>
          <w:szCs w:val="30"/>
        </w:rPr>
        <w:t>2.阶段性目标</w:t>
      </w:r>
    </w:p>
    <w:p w14:paraId="1EF63038">
      <w:pPr>
        <w:spacing w:line="560" w:lineRule="exact"/>
        <w:ind w:firstLine="600" w:firstLineChars="200"/>
        <w:rPr>
          <w:rFonts w:eastAsia="仿宋_GB2312"/>
          <w:sz w:val="30"/>
        </w:rPr>
      </w:pPr>
      <w:r>
        <w:rPr>
          <w:rFonts w:hint="eastAsia" w:ascii="仿宋_GB2312" w:hAnsi="宋体" w:eastAsia="仿宋_GB2312" w:cs="仿宋_GB2312"/>
          <w:color w:val="333333"/>
          <w:sz w:val="30"/>
          <w:szCs w:val="30"/>
          <w:shd w:val="clear" w:color="auto" w:fill="FFFFFF"/>
        </w:rPr>
        <w:t>2024年1月20日至2024年3月20日为调查准备制定方案阶段。主要根据2024年县政协常委会工作要点，结合政协工作的实际，拟定了本年度工作要点和常委会、专题议政性常委会、视察、调研、培训、为全年各项工作的有效开展奠定了扎实基础。</w:t>
      </w:r>
    </w:p>
    <w:p w14:paraId="75AD52AA">
      <w:pPr>
        <w:spacing w:line="560" w:lineRule="exact"/>
        <w:ind w:firstLine="600" w:firstLineChars="200"/>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2024年3月21日至2024年8月30日完成105名政协委员视察、调研、开展季度协商座谈会等活动，组织政协委员参加培训，保障政协委员对于基层政协日常工作顺利开展，并上报社情民意信息，同时配合自治区、州政协开展好调研、视察等工作。</w:t>
      </w:r>
    </w:p>
    <w:p w14:paraId="05AD3E93">
      <w:pPr>
        <w:spacing w:line="560" w:lineRule="exact"/>
        <w:ind w:firstLine="600" w:firstLineChars="200"/>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2024年8月31日至2024年11月10日为综合研究阶段。委员调研、视察、委员培训、对政协联络站改造和修缮工作，逐步完成基层政协委员联络站布置完善工作，不断提高基层政协委员的履职能力。</w:t>
      </w:r>
    </w:p>
    <w:p w14:paraId="0489F866">
      <w:pPr>
        <w:spacing w:line="560" w:lineRule="exact"/>
        <w:ind w:firstLine="600" w:firstLineChars="200"/>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2024年11月20日对成果资料进行评审，成果验收为良好。</w:t>
      </w:r>
    </w:p>
    <w:p w14:paraId="400084C4">
      <w:pPr>
        <w:spacing w:line="560" w:lineRule="exact"/>
        <w:ind w:firstLine="640" w:firstLineChars="200"/>
        <w:rPr>
          <w:rFonts w:eastAsia="黑体"/>
          <w:sz w:val="32"/>
          <w:szCs w:val="32"/>
        </w:rPr>
      </w:pPr>
      <w:r>
        <w:rPr>
          <w:rFonts w:eastAsia="黑体"/>
          <w:sz w:val="32"/>
          <w:szCs w:val="32"/>
        </w:rPr>
        <w:t>二、绩效评价工作开展情况</w:t>
      </w:r>
    </w:p>
    <w:p w14:paraId="0E382CA2">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1405D59D">
      <w:pPr>
        <w:spacing w:line="560" w:lineRule="exact"/>
        <w:ind w:firstLine="600" w:firstLineChars="200"/>
        <w:rPr>
          <w:rFonts w:ascii="楷体" w:hAnsi="楷体" w:eastAsia="楷体" w:cs="楷体"/>
          <w:sz w:val="30"/>
          <w:szCs w:val="30"/>
        </w:rPr>
      </w:pPr>
      <w:r>
        <w:rPr>
          <w:rFonts w:ascii="楷体" w:hAnsi="楷体" w:eastAsia="楷体" w:cs="楷体"/>
          <w:sz w:val="30"/>
          <w:szCs w:val="30"/>
        </w:rPr>
        <w:t>1.绩效评价完整性</w:t>
      </w:r>
    </w:p>
    <w:p w14:paraId="3BDE56F7">
      <w:pPr>
        <w:spacing w:line="560" w:lineRule="exact"/>
        <w:ind w:firstLine="600" w:firstLineChars="200"/>
        <w:rPr>
          <w:rFonts w:ascii="仿宋_GB2312" w:hAnsi="宋体" w:eastAsia="仿宋_GB2312" w:cs="仿宋_GB2312"/>
          <w:color w:val="333333"/>
          <w:sz w:val="30"/>
          <w:szCs w:val="30"/>
          <w:shd w:val="clear" w:color="auto" w:fill="FFFFFF"/>
        </w:rPr>
      </w:pPr>
      <w:r>
        <w:rPr>
          <w:rFonts w:ascii="仿宋_GB2312" w:hAnsi="宋体" w:eastAsia="仿宋_GB2312" w:cs="仿宋_GB2312"/>
          <w:color w:val="333333"/>
          <w:sz w:val="30"/>
          <w:szCs w:val="30"/>
          <w:shd w:val="clear" w:color="auto" w:fill="FFFFFF"/>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488A999B">
      <w:pPr>
        <w:spacing w:line="560" w:lineRule="exact"/>
        <w:ind w:firstLine="600" w:firstLineChars="200"/>
        <w:rPr>
          <w:rFonts w:ascii="仿宋_GB2312" w:hAnsi="宋体" w:eastAsia="仿宋_GB2312" w:cs="仿宋_GB2312"/>
          <w:color w:val="333333"/>
          <w:sz w:val="30"/>
          <w:szCs w:val="30"/>
          <w:shd w:val="clear" w:color="auto" w:fill="FFFFFF"/>
        </w:rPr>
      </w:pPr>
      <w:r>
        <w:rPr>
          <w:rFonts w:ascii="仿宋_GB2312" w:hAnsi="宋体" w:eastAsia="仿宋_GB2312" w:cs="仿宋_GB2312"/>
          <w:color w:val="333333"/>
          <w:sz w:val="30"/>
          <w:szCs w:val="30"/>
          <w:shd w:val="clear" w:color="auto" w:fill="FFFFFF"/>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p>
    <w:p w14:paraId="19900F8A">
      <w:pPr>
        <w:spacing w:line="560" w:lineRule="exact"/>
        <w:ind w:firstLine="600" w:firstLineChars="200"/>
        <w:rPr>
          <w:rFonts w:ascii="仿宋_GB2312" w:hAnsi="宋体" w:eastAsia="仿宋_GB2312" w:cs="仿宋_GB2312"/>
          <w:color w:val="333333"/>
          <w:sz w:val="30"/>
          <w:szCs w:val="30"/>
          <w:shd w:val="clear" w:color="auto" w:fill="FFFFFF"/>
        </w:rPr>
      </w:pPr>
      <w:r>
        <w:rPr>
          <w:rFonts w:ascii="仿宋_GB2312" w:hAnsi="宋体" w:eastAsia="仿宋_GB2312" w:cs="仿宋_GB2312"/>
          <w:color w:val="333333"/>
          <w:sz w:val="30"/>
          <w:szCs w:val="30"/>
          <w:shd w:val="clear" w:color="auto" w:fill="FFFFFF"/>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299E292E">
      <w:pPr>
        <w:spacing w:line="560" w:lineRule="exact"/>
        <w:ind w:firstLine="600" w:firstLineChars="200"/>
        <w:rPr>
          <w:rFonts w:ascii="仿宋_GB2312" w:hAnsi="宋体" w:eastAsia="仿宋_GB2312" w:cs="仿宋_GB2312"/>
          <w:color w:val="333333"/>
          <w:sz w:val="30"/>
          <w:szCs w:val="30"/>
          <w:shd w:val="clear" w:color="auto" w:fill="FFFFFF"/>
        </w:rPr>
      </w:pPr>
      <w:r>
        <w:rPr>
          <w:rFonts w:ascii="仿宋_GB2312" w:hAnsi="宋体" w:eastAsia="仿宋_GB2312" w:cs="仿宋_GB2312"/>
          <w:color w:val="333333"/>
          <w:sz w:val="30"/>
          <w:szCs w:val="30"/>
          <w:shd w:val="clear" w:color="auto" w:fill="FFFFFF"/>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0F75E303">
      <w:pPr>
        <w:spacing w:line="560" w:lineRule="exact"/>
        <w:ind w:firstLine="600" w:firstLineChars="200"/>
        <w:rPr>
          <w:rFonts w:ascii="仿宋_GB2312" w:hAnsi="宋体" w:eastAsia="仿宋_GB2312" w:cs="仿宋_GB2312"/>
          <w:color w:val="333333"/>
          <w:sz w:val="30"/>
          <w:szCs w:val="30"/>
          <w:shd w:val="clear" w:color="auto" w:fill="FFFFFF"/>
        </w:rPr>
      </w:pPr>
      <w:r>
        <w:rPr>
          <w:rFonts w:ascii="仿宋_GB2312" w:hAnsi="宋体" w:eastAsia="仿宋_GB2312" w:cs="仿宋_GB2312"/>
          <w:color w:val="333333"/>
          <w:sz w:val="30"/>
          <w:szCs w:val="30"/>
          <w:shd w:val="clear" w:color="auto" w:fill="FFFFFF"/>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D8CB0F6">
      <w:pPr>
        <w:spacing w:line="560" w:lineRule="exact"/>
        <w:ind w:firstLine="600" w:firstLineChars="200"/>
        <w:rPr>
          <w:rFonts w:ascii="楷体" w:hAnsi="楷体" w:eastAsia="楷体" w:cs="楷体"/>
          <w:sz w:val="30"/>
          <w:szCs w:val="30"/>
        </w:rPr>
      </w:pPr>
      <w:r>
        <w:rPr>
          <w:rFonts w:ascii="楷体" w:hAnsi="楷体" w:eastAsia="楷体" w:cs="楷体"/>
          <w:sz w:val="30"/>
          <w:szCs w:val="30"/>
        </w:rPr>
        <w:t>2.绩效评价的目的</w:t>
      </w:r>
    </w:p>
    <w:p w14:paraId="035C173B">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（1）评估项目实施效果</w:t>
      </w:r>
    </w:p>
    <w:p w14:paraId="08549537">
      <w:pPr>
        <w:spacing w:line="560" w:lineRule="exact"/>
        <w:ind w:firstLine="600" w:firstLineChars="200"/>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通过绩效评价，客观地评判项目的管理绩效，了解和掌握基层人大补助经费的具体情况，评价该项目资金安排的科学性、合理性、规范性和资金的使用成效，及时总结项目管理经验，完善项目管理办法，提高项目管理水平和资金使用效益。</w:t>
      </w:r>
    </w:p>
    <w:p w14:paraId="74D2AC9C">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（2）提升资源利用效率</w:t>
      </w:r>
    </w:p>
    <w:p w14:paraId="16385242">
      <w:pPr>
        <w:spacing w:line="560" w:lineRule="exact"/>
        <w:ind w:firstLine="600" w:firstLineChars="200"/>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促使我单位根据绩效评价中发现的问题，认真加以整改，及时调整和完善单位的工作计划和绩效目标并加强项目管理，提高管理水平，同时为项目后续资金投入、分配和管理提供决策依据。</w:t>
      </w:r>
    </w:p>
    <w:p w14:paraId="746F0E2A">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（3）强化项目管理责任</w:t>
      </w:r>
    </w:p>
    <w:p w14:paraId="5CFFA049">
      <w:pPr>
        <w:spacing w:line="560" w:lineRule="exact"/>
        <w:ind w:firstLine="600" w:firstLineChars="200"/>
        <w:rPr>
          <w:rFonts w:ascii="仿宋_GB2312" w:eastAsia="仿宋_GB2312"/>
          <w:sz w:val="30"/>
        </w:rPr>
      </w:pPr>
      <w:r>
        <w:rPr>
          <w:rFonts w:ascii="仿宋_GB2312" w:eastAsia="仿宋_GB2312"/>
          <w:sz w:val="30"/>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A74E364">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（4）为决策提供支持</w:t>
      </w:r>
    </w:p>
    <w:p w14:paraId="79AB48EC">
      <w:pPr>
        <w:spacing w:line="560" w:lineRule="exact"/>
        <w:ind w:firstLine="600" w:firstLineChars="200"/>
        <w:rPr>
          <w:rFonts w:ascii="仿宋_GB2312" w:eastAsia="仿宋_GB2312"/>
          <w:sz w:val="30"/>
        </w:rPr>
      </w:pPr>
      <w:r>
        <w:rPr>
          <w:rFonts w:ascii="仿宋_GB2312" w:eastAsia="仿宋_GB2312"/>
          <w:sz w:val="30"/>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FD27AD9">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（5）促进项目持续改进</w:t>
      </w:r>
    </w:p>
    <w:p w14:paraId="6EFB5515">
      <w:pPr>
        <w:spacing w:line="560" w:lineRule="exact"/>
        <w:ind w:firstLine="600" w:firstLineChars="200"/>
        <w:rPr>
          <w:rFonts w:ascii="仿宋_GB2312" w:eastAsia="仿宋_GB2312"/>
          <w:sz w:val="30"/>
        </w:rPr>
      </w:pPr>
      <w:r>
        <w:rPr>
          <w:rFonts w:ascii="仿宋_GB2312" w:eastAsia="仿宋_GB2312"/>
          <w:sz w:val="30"/>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6BBAF6B5">
      <w:pPr>
        <w:spacing w:line="560" w:lineRule="exact"/>
        <w:ind w:firstLine="600" w:firstLineChars="200"/>
        <w:rPr>
          <w:rFonts w:ascii="仿宋_GB2312" w:eastAsia="仿宋_GB2312"/>
          <w:sz w:val="30"/>
        </w:rPr>
      </w:pPr>
      <w:r>
        <w:rPr>
          <w:rFonts w:ascii="仿宋_GB2312" w:eastAsia="仿宋_GB2312"/>
          <w:sz w:val="30"/>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1F58DA0F">
      <w:pPr>
        <w:pStyle w:val="2"/>
        <w:widowControl w:val="0"/>
        <w:spacing w:before="0" w:after="0" w:line="560" w:lineRule="exact"/>
        <w:ind w:firstLine="640" w:firstLineChars="200"/>
        <w:jc w:val="both"/>
        <w:outlineLvl w:val="9"/>
        <w:rPr>
          <w:rFonts w:ascii="楷体" w:hAnsi="楷体" w:eastAsia="楷体" w:cs="楷体"/>
          <w:b w:val="0"/>
          <w:bCs w:val="0"/>
        </w:rPr>
      </w:pPr>
      <w:r>
        <w:rPr>
          <w:rFonts w:hint="eastAsia" w:ascii="楷体" w:hAnsi="楷体" w:eastAsia="楷体" w:cs="楷体"/>
          <w:b w:val="0"/>
          <w:bCs w:val="0"/>
        </w:rPr>
        <w:t>3</w:t>
      </w:r>
      <w:r>
        <w:rPr>
          <w:rFonts w:hint="eastAsia" w:ascii="楷体" w:hAnsi="楷体" w:eastAsia="楷体" w:cs="楷体"/>
        </w:rPr>
        <w:t>.</w:t>
      </w:r>
      <w:r>
        <w:rPr>
          <w:rFonts w:hint="eastAsia" w:ascii="楷体" w:hAnsi="楷体" w:eastAsia="楷体" w:cs="楷体"/>
          <w:b w:val="0"/>
          <w:bCs w:val="0"/>
        </w:rPr>
        <w:t>绩效评价的对象</w:t>
      </w:r>
    </w:p>
    <w:p w14:paraId="6D74EE97">
      <w:pPr>
        <w:pStyle w:val="2"/>
        <w:widowControl w:val="0"/>
        <w:spacing w:before="0" w:after="0" w:line="560" w:lineRule="exact"/>
        <w:ind w:firstLine="600" w:firstLineChars="200"/>
        <w:jc w:val="both"/>
        <w:outlineLvl w:val="9"/>
        <w:rPr>
          <w:rFonts w:ascii="仿宋_GB2312" w:hAnsi="Times New Roman" w:eastAsia="仿宋_GB2312"/>
          <w:b w:val="0"/>
          <w:bCs w:val="0"/>
          <w:kern w:val="2"/>
          <w:sz w:val="30"/>
          <w:szCs w:val="24"/>
        </w:rPr>
      </w:pPr>
      <w:r>
        <w:rPr>
          <w:rFonts w:ascii="仿宋_GB2312" w:hAnsi="Times New Roman" w:eastAsia="仿宋_GB2312"/>
          <w:b w:val="0"/>
          <w:bCs w:val="0"/>
          <w:kern w:val="2"/>
          <w:sz w:val="30"/>
          <w:szCs w:val="24"/>
        </w:rPr>
        <w:t>本项目预算绩效评价报告的评价对象是</w:t>
      </w:r>
      <w:r>
        <w:rPr>
          <w:rFonts w:hint="eastAsia" w:ascii="仿宋_GB2312" w:eastAsia="仿宋_GB2312"/>
          <w:b w:val="0"/>
          <w:bCs w:val="0"/>
          <w:kern w:val="2"/>
          <w:sz w:val="30"/>
          <w:szCs w:val="24"/>
        </w:rPr>
        <w:t>自治区</w:t>
      </w:r>
      <w:r>
        <w:rPr>
          <w:rFonts w:hint="eastAsia" w:ascii="仿宋_GB2312" w:hAnsi="Times New Roman" w:eastAsia="仿宋_GB2312"/>
          <w:b w:val="0"/>
          <w:bCs w:val="0"/>
          <w:kern w:val="2"/>
          <w:sz w:val="30"/>
          <w:szCs w:val="24"/>
        </w:rPr>
        <w:t>基层政协补助经费，</w:t>
      </w:r>
      <w:r>
        <w:rPr>
          <w:rFonts w:hint="eastAsia" w:ascii="Times New Roman" w:hAnsi="Times New Roman" w:eastAsia="仿宋_GB2312"/>
          <w:b w:val="0"/>
          <w:bCs w:val="0"/>
          <w:kern w:val="2"/>
          <w:sz w:val="30"/>
          <w:szCs w:val="24"/>
        </w:rPr>
        <w:t>预算执行率为99.40%</w:t>
      </w:r>
      <w:r>
        <w:rPr>
          <w:rFonts w:ascii="仿宋_GB2312" w:hAnsi="Times New Roman" w:eastAsia="仿宋_GB2312"/>
          <w:b w:val="0"/>
          <w:bCs w:val="0"/>
          <w:kern w:val="2"/>
          <w:sz w:val="30"/>
          <w:szCs w:val="24"/>
        </w:rPr>
        <w:t>。该项目由</w:t>
      </w:r>
      <w:r>
        <w:rPr>
          <w:rFonts w:hint="eastAsia" w:ascii="仿宋_GB2312" w:hAnsi="Times New Roman" w:eastAsia="仿宋_GB2312"/>
          <w:b w:val="0"/>
          <w:bCs w:val="0"/>
          <w:kern w:val="2"/>
          <w:sz w:val="30"/>
          <w:szCs w:val="24"/>
        </w:rPr>
        <w:t>政协和硕县委员会</w:t>
      </w:r>
      <w:r>
        <w:rPr>
          <w:rFonts w:ascii="仿宋_GB2312" w:hAnsi="Times New Roman" w:eastAsia="仿宋_GB2312"/>
          <w:b w:val="0"/>
          <w:bCs w:val="0"/>
          <w:kern w:val="2"/>
          <w:sz w:val="30"/>
          <w:szCs w:val="24"/>
        </w:rPr>
        <w:t>负责实施，旨在</w:t>
      </w:r>
      <w:r>
        <w:rPr>
          <w:rFonts w:hint="eastAsia" w:ascii="仿宋_GB2312" w:hAnsi="Times New Roman" w:eastAsia="仿宋_GB2312"/>
          <w:b w:val="0"/>
          <w:bCs w:val="0"/>
          <w:kern w:val="2"/>
          <w:sz w:val="30"/>
          <w:szCs w:val="24"/>
        </w:rPr>
        <w:t>客观地评判项目的管理绩效，了解和掌握基层政协补助经费的具体情况，评价该项目资金安排的科学性、合理性、规范性和资金的使用成效，及时总结项目管理经验，完善项目管理办法，提高项目管理水平和资金使用效益。</w:t>
      </w:r>
      <w:r>
        <w:rPr>
          <w:rFonts w:ascii="仿宋_GB2312" w:hAnsi="Times New Roman" w:eastAsia="仿宋_GB2312"/>
          <w:b w:val="0"/>
          <w:bCs w:val="0"/>
          <w:kern w:val="2"/>
          <w:sz w:val="30"/>
          <w:szCs w:val="24"/>
        </w:rPr>
        <w:t>项目预算涵盖从</w:t>
      </w:r>
      <w:r>
        <w:rPr>
          <w:rFonts w:hint="eastAsia" w:ascii="仿宋_GB2312" w:hAnsi="Times New Roman" w:eastAsia="仿宋_GB2312"/>
          <w:b w:val="0"/>
          <w:bCs w:val="0"/>
          <w:kern w:val="2"/>
          <w:sz w:val="30"/>
          <w:szCs w:val="24"/>
        </w:rPr>
        <w:t>2024年1月1日</w:t>
      </w:r>
      <w:r>
        <w:rPr>
          <w:rFonts w:ascii="仿宋_GB2312" w:hAnsi="Times New Roman" w:eastAsia="仿宋_GB2312"/>
          <w:b w:val="0"/>
          <w:bCs w:val="0"/>
          <w:kern w:val="2"/>
          <w:sz w:val="30"/>
          <w:szCs w:val="24"/>
        </w:rPr>
        <w:t>至</w:t>
      </w:r>
      <w:r>
        <w:rPr>
          <w:rFonts w:hint="eastAsia" w:ascii="仿宋_GB2312" w:hAnsi="Times New Roman" w:eastAsia="仿宋_GB2312"/>
          <w:b w:val="0"/>
          <w:bCs w:val="0"/>
          <w:kern w:val="2"/>
          <w:sz w:val="30"/>
          <w:szCs w:val="24"/>
        </w:rPr>
        <w:t>2024年11月20日</w:t>
      </w:r>
      <w:r>
        <w:rPr>
          <w:rFonts w:ascii="仿宋_GB2312" w:hAnsi="Times New Roman" w:eastAsia="仿宋_GB2312"/>
          <w:b w:val="0"/>
          <w:bCs w:val="0"/>
          <w:kern w:val="2"/>
          <w:sz w:val="30"/>
          <w:szCs w:val="24"/>
        </w:rPr>
        <w:t>的全部资金投入与支出，涉及资金总额为</w:t>
      </w:r>
      <w:r>
        <w:rPr>
          <w:rFonts w:hint="eastAsia" w:ascii="仿宋_GB2312" w:hAnsi="Times New Roman" w:eastAsia="仿宋_GB2312"/>
          <w:b w:val="0"/>
          <w:bCs w:val="0"/>
          <w:kern w:val="2"/>
          <w:sz w:val="30"/>
          <w:szCs w:val="24"/>
        </w:rPr>
        <w:t>5</w:t>
      </w:r>
      <w:r>
        <w:rPr>
          <w:rFonts w:ascii="仿宋_GB2312" w:hAnsi="Times New Roman" w:eastAsia="仿宋_GB2312"/>
          <w:b w:val="0"/>
          <w:bCs w:val="0"/>
          <w:kern w:val="2"/>
          <w:sz w:val="30"/>
          <w:szCs w:val="24"/>
        </w:rPr>
        <w:t>万元。</w:t>
      </w:r>
    </w:p>
    <w:p w14:paraId="59931B37">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4.绩效评价的范围</w:t>
      </w:r>
    </w:p>
    <w:p w14:paraId="5BD87210">
      <w:pPr>
        <w:pStyle w:val="2"/>
        <w:widowControl w:val="0"/>
        <w:spacing w:before="0" w:after="0" w:line="560" w:lineRule="exact"/>
        <w:ind w:firstLine="600" w:firstLineChars="200"/>
        <w:jc w:val="both"/>
        <w:outlineLvl w:val="9"/>
        <w:rPr>
          <w:rFonts w:ascii="仿宋_GB2312" w:hAnsi="Times New Roman" w:eastAsia="仿宋_GB2312"/>
          <w:b w:val="0"/>
          <w:bCs w:val="0"/>
          <w:kern w:val="2"/>
          <w:sz w:val="30"/>
          <w:szCs w:val="24"/>
        </w:rPr>
      </w:pPr>
      <w:r>
        <w:rPr>
          <w:rFonts w:ascii="仿宋_GB2312" w:hAnsi="Times New Roman" w:eastAsia="仿宋_GB2312"/>
          <w:b w:val="0"/>
          <w:bCs w:val="0"/>
          <w:kern w:val="2"/>
          <w:sz w:val="30"/>
          <w:szCs w:val="24"/>
        </w:rPr>
        <w:t>本项目预算绩效评价报告的评价范围广泛而全面，涵盖了从项目立项至评价时点期间的所有关键预算活动和财务流程。具体而言，评价范围包括但不限于以下几个方面：</w:t>
      </w:r>
    </w:p>
    <w:p w14:paraId="0C061883">
      <w:pPr>
        <w:pStyle w:val="2"/>
        <w:widowControl w:val="0"/>
        <w:spacing w:before="0" w:after="0" w:line="560" w:lineRule="exact"/>
        <w:ind w:firstLine="600" w:firstLineChars="200"/>
        <w:jc w:val="both"/>
        <w:outlineLvl w:val="9"/>
        <w:rPr>
          <w:rFonts w:ascii="仿宋_GB2312" w:hAnsi="Times New Roman" w:eastAsia="仿宋_GB2312"/>
          <w:b w:val="0"/>
          <w:bCs w:val="0"/>
          <w:kern w:val="2"/>
          <w:sz w:val="30"/>
          <w:szCs w:val="24"/>
        </w:rPr>
      </w:pPr>
      <w:r>
        <w:rPr>
          <w:rFonts w:hint="eastAsia" w:ascii="仿宋_GB2312" w:hAnsi="Times New Roman" w:eastAsia="仿宋_GB2312"/>
          <w:b w:val="0"/>
          <w:bCs w:val="0"/>
          <w:kern w:val="2"/>
          <w:sz w:val="30"/>
          <w:szCs w:val="24"/>
        </w:rPr>
        <w:t>（1）</w:t>
      </w:r>
      <w:r>
        <w:rPr>
          <w:rFonts w:ascii="仿宋_GB2312" w:hAnsi="Times New Roman" w:eastAsia="仿宋_GB2312"/>
          <w:b w:val="0"/>
          <w:bCs w:val="0"/>
          <w:kern w:val="2"/>
          <w:sz w:val="30"/>
          <w:szCs w:val="24"/>
        </w:rPr>
        <w:t>项目预算编制与执行：全面审视项目预算的编制依据、合理性、科学性以及实际执行情况</w:t>
      </w:r>
      <w:r>
        <w:rPr>
          <w:rFonts w:hint="eastAsia" w:ascii="仿宋_GB2312" w:hAnsi="Times New Roman" w:eastAsia="仿宋_GB2312"/>
          <w:b w:val="0"/>
          <w:bCs w:val="0"/>
          <w:kern w:val="2"/>
          <w:sz w:val="30"/>
          <w:szCs w:val="24"/>
        </w:rPr>
        <w:t>。</w:t>
      </w:r>
    </w:p>
    <w:p w14:paraId="1335712D">
      <w:pPr>
        <w:pStyle w:val="2"/>
        <w:widowControl w:val="0"/>
        <w:spacing w:before="0" w:after="0" w:line="560" w:lineRule="exact"/>
        <w:ind w:firstLine="600" w:firstLineChars="200"/>
        <w:jc w:val="both"/>
        <w:outlineLvl w:val="9"/>
        <w:rPr>
          <w:rFonts w:ascii="仿宋_GB2312" w:hAnsi="Times New Roman" w:eastAsia="仿宋_GB2312"/>
          <w:b w:val="0"/>
          <w:bCs w:val="0"/>
          <w:kern w:val="2"/>
          <w:sz w:val="30"/>
          <w:szCs w:val="24"/>
        </w:rPr>
      </w:pPr>
      <w:r>
        <w:rPr>
          <w:rFonts w:hint="eastAsia" w:ascii="仿宋_GB2312" w:hAnsi="Times New Roman" w:eastAsia="仿宋_GB2312"/>
          <w:b w:val="0"/>
          <w:bCs w:val="0"/>
          <w:kern w:val="2"/>
          <w:sz w:val="30"/>
          <w:szCs w:val="24"/>
        </w:rPr>
        <w:t>（2）资金管理：此项目资金拨付有完整的审批程序和手续，符合项目预算批复或合同规定的用途，确保资金使用的合规性、高效性和透明度。</w:t>
      </w:r>
    </w:p>
    <w:p w14:paraId="4D0B8AC2">
      <w:pPr>
        <w:pStyle w:val="2"/>
        <w:widowControl w:val="0"/>
        <w:spacing w:before="0" w:after="0" w:line="560" w:lineRule="exact"/>
        <w:ind w:firstLine="600" w:firstLineChars="200"/>
        <w:jc w:val="both"/>
        <w:outlineLvl w:val="9"/>
        <w:rPr>
          <w:rFonts w:ascii="仿宋_GB2312" w:hAnsi="Times New Roman" w:eastAsia="仿宋_GB2312"/>
          <w:b w:val="0"/>
          <w:bCs w:val="0"/>
          <w:kern w:val="2"/>
          <w:sz w:val="30"/>
          <w:szCs w:val="24"/>
        </w:rPr>
      </w:pPr>
      <w:r>
        <w:rPr>
          <w:rFonts w:hint="eastAsia" w:ascii="仿宋_GB2312" w:hAnsi="Times New Roman" w:eastAsia="仿宋_GB2312"/>
          <w:b w:val="0"/>
          <w:bCs w:val="0"/>
          <w:kern w:val="2"/>
          <w:sz w:val="30"/>
          <w:szCs w:val="24"/>
        </w:rPr>
        <w:t>（3）项目实施进度与产出：此项目按照年初制定计划顺利推进，各项任务按时完成，以及项目产出的数量、质量和时效性符合预期。</w:t>
      </w:r>
    </w:p>
    <w:p w14:paraId="6183A3F0">
      <w:pPr>
        <w:pStyle w:val="2"/>
        <w:widowControl w:val="0"/>
        <w:spacing w:before="0" w:after="0" w:line="560" w:lineRule="exact"/>
        <w:ind w:firstLine="600" w:firstLineChars="200"/>
        <w:jc w:val="both"/>
        <w:outlineLvl w:val="9"/>
      </w:pPr>
      <w:r>
        <w:rPr>
          <w:rFonts w:hint="eastAsia" w:ascii="仿宋_GB2312" w:hAnsi="Times New Roman" w:eastAsia="仿宋_GB2312"/>
          <w:b w:val="0"/>
          <w:bCs w:val="0"/>
          <w:kern w:val="2"/>
          <w:sz w:val="30"/>
          <w:szCs w:val="24"/>
        </w:rPr>
        <w:t>（4）</w:t>
      </w:r>
      <w:r>
        <w:rPr>
          <w:rFonts w:ascii="仿宋_GB2312" w:hAnsi="Times New Roman" w:eastAsia="仿宋_GB2312"/>
          <w:b w:val="0"/>
          <w:bCs w:val="0"/>
          <w:kern w:val="2"/>
          <w:sz w:val="30"/>
          <w:szCs w:val="24"/>
        </w:rPr>
        <w:t>社会影响：</w:t>
      </w:r>
      <w:r>
        <w:rPr>
          <w:rFonts w:hint="eastAsia" w:ascii="仿宋_GB2312" w:hAnsi="Times New Roman" w:eastAsia="仿宋_GB2312"/>
          <w:b w:val="0"/>
          <w:bCs w:val="0"/>
          <w:kern w:val="2"/>
          <w:sz w:val="30"/>
          <w:szCs w:val="24"/>
        </w:rPr>
        <w:t>绩效评价框架包括评价准则、关键评价问题、评价指标、数据来源、数据收集方法等。</w:t>
      </w:r>
    </w:p>
    <w:p w14:paraId="793B1101">
      <w:pPr>
        <w:spacing w:line="560" w:lineRule="exact"/>
        <w:ind w:firstLine="643" w:firstLineChars="200"/>
      </w:pPr>
      <w:r>
        <w:rPr>
          <w:rFonts w:eastAsia="楷体_GB2312"/>
          <w:b/>
          <w:bCs/>
          <w:sz w:val="32"/>
          <w:szCs w:val="32"/>
        </w:rPr>
        <w:t>（二）绩效评价原则、评价指标体系（详情见表1）、评价方法、评价标准。</w:t>
      </w:r>
    </w:p>
    <w:p w14:paraId="6D8352EB">
      <w:pPr>
        <w:pStyle w:val="2"/>
        <w:widowControl w:val="0"/>
        <w:spacing w:before="0" w:after="0" w:line="560" w:lineRule="exact"/>
        <w:ind w:firstLine="640" w:firstLineChars="200"/>
        <w:jc w:val="both"/>
        <w:outlineLvl w:val="9"/>
        <w:rPr>
          <w:rFonts w:ascii="楷体" w:hAnsi="楷体" w:eastAsia="楷体" w:cs="楷体"/>
          <w:b w:val="0"/>
          <w:bCs w:val="0"/>
        </w:rPr>
      </w:pPr>
      <w:r>
        <w:rPr>
          <w:rFonts w:hint="eastAsia" w:ascii="楷体" w:hAnsi="楷体" w:eastAsia="楷体" w:cs="楷体"/>
          <w:b w:val="0"/>
          <w:bCs w:val="0"/>
        </w:rPr>
        <w:t>1</w:t>
      </w:r>
      <w:r>
        <w:rPr>
          <w:rFonts w:hint="eastAsia" w:ascii="楷体" w:hAnsi="楷体" w:eastAsia="楷体" w:cs="楷体"/>
        </w:rPr>
        <w:t>.</w:t>
      </w:r>
      <w:r>
        <w:rPr>
          <w:rFonts w:hint="eastAsia" w:ascii="楷体" w:hAnsi="楷体" w:eastAsia="楷体" w:cs="楷体"/>
          <w:b w:val="0"/>
          <w:bCs w:val="0"/>
        </w:rPr>
        <w:t>绩效评价原则</w:t>
      </w:r>
    </w:p>
    <w:p w14:paraId="191F45BF">
      <w:pPr>
        <w:spacing w:line="560" w:lineRule="exact"/>
        <w:ind w:firstLine="600" w:firstLineChars="200"/>
        <w:rPr>
          <w:rFonts w:ascii="仿宋_GB2312" w:eastAsia="仿宋_GB2312"/>
          <w:sz w:val="30"/>
        </w:rPr>
      </w:pPr>
      <w:r>
        <w:rPr>
          <w:rFonts w:ascii="仿宋_GB2312" w:eastAsia="仿宋_GB2312"/>
          <w:sz w:val="30"/>
        </w:rPr>
        <w:t>本次项目绩效评价遵循以下基本原则：</w:t>
      </w:r>
    </w:p>
    <w:p w14:paraId="762D1045">
      <w:pPr>
        <w:spacing w:line="560" w:lineRule="exact"/>
        <w:ind w:firstLine="600" w:firstLineChars="200"/>
        <w:rPr>
          <w:rFonts w:ascii="仿宋_GB2312" w:eastAsia="仿宋_GB2312"/>
          <w:sz w:val="30"/>
        </w:rPr>
      </w:pPr>
      <w:r>
        <w:rPr>
          <w:rFonts w:hint="eastAsia" w:ascii="仿宋_GB2312" w:eastAsia="仿宋_GB2312"/>
          <w:sz w:val="30"/>
        </w:rPr>
        <w:t>（1）科学公正。本次项目支出绩效评价运用科学合理的方法，按照规范的程序，对项目绩效进行客观、公正的反映。</w:t>
      </w:r>
    </w:p>
    <w:p w14:paraId="5158CC95">
      <w:pPr>
        <w:spacing w:line="560" w:lineRule="exact"/>
        <w:ind w:firstLine="600" w:firstLineChars="200"/>
        <w:rPr>
          <w:rFonts w:ascii="仿宋_GB2312" w:eastAsia="仿宋_GB2312"/>
          <w:sz w:val="30"/>
        </w:rPr>
      </w:pPr>
      <w:r>
        <w:rPr>
          <w:rFonts w:hint="eastAsia" w:ascii="仿宋_GB2312" w:eastAsia="仿宋_GB2312"/>
          <w:sz w:val="30"/>
        </w:rPr>
        <w:t>（2）统筹兼顾。本次项目支出绩效评价由本单位自主实施，即“谁支出、谁自评”。</w:t>
      </w:r>
    </w:p>
    <w:p w14:paraId="35848F85">
      <w:pPr>
        <w:spacing w:line="560" w:lineRule="exact"/>
        <w:ind w:firstLine="600" w:firstLineChars="200"/>
        <w:rPr>
          <w:rFonts w:ascii="仿宋_GB2312" w:eastAsia="仿宋_GB2312"/>
          <w:sz w:val="30"/>
        </w:rPr>
      </w:pPr>
      <w:r>
        <w:rPr>
          <w:rFonts w:hint="eastAsia" w:ascii="仿宋_GB2312" w:eastAsia="仿宋_GB2312"/>
          <w:sz w:val="30"/>
        </w:rPr>
        <w:t>（3）激励约束。本次项目支出绩效评价结果与预算安排、政策调整、改进管理实质性挂钩，体现奖优罚劣和激励相容导向，有效要安排、低效要压减、无效要问责。</w:t>
      </w:r>
    </w:p>
    <w:p w14:paraId="4D248562">
      <w:pPr>
        <w:spacing w:line="560" w:lineRule="exact"/>
        <w:ind w:firstLine="600" w:firstLineChars="200"/>
        <w:rPr>
          <w:rFonts w:ascii="仿宋_GB2312" w:eastAsia="仿宋_GB2312"/>
          <w:sz w:val="30"/>
        </w:rPr>
      </w:pPr>
      <w:r>
        <w:rPr>
          <w:rFonts w:hint="eastAsia" w:ascii="仿宋_GB2312" w:eastAsia="仿宋_GB2312"/>
          <w:sz w:val="30"/>
        </w:rPr>
        <w:t>（4）公开透明。本次项目支出绩效评价结果已依法依规公开在和硕县人民政府网站上，并自觉接受社会监督。</w:t>
      </w:r>
    </w:p>
    <w:p w14:paraId="38153D62">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2.评价指标体系</w:t>
      </w:r>
    </w:p>
    <w:p w14:paraId="2AD4368F">
      <w:pPr>
        <w:spacing w:line="560" w:lineRule="exact"/>
        <w:ind w:firstLine="600" w:firstLineChars="200"/>
        <w:rPr>
          <w:rFonts w:ascii="仿宋_GB2312" w:eastAsia="仿宋_GB2312"/>
          <w:sz w:val="30"/>
        </w:rPr>
      </w:pPr>
      <w:r>
        <w:rPr>
          <w:rFonts w:hint="eastAsia" w:ascii="仿宋_GB2312" w:eastAsia="仿宋_GB2312"/>
          <w:sz w:val="30"/>
        </w:rPr>
        <w:t>绩效评价框架是开展绩效评价的核心。</w:t>
      </w:r>
      <w:bookmarkStart w:id="4" w:name="OLE_LINK12"/>
      <w:r>
        <w:rPr>
          <w:rFonts w:hint="eastAsia" w:ascii="仿宋_GB2312" w:eastAsia="仿宋_GB2312"/>
          <w:sz w:val="30"/>
        </w:rPr>
        <w:t>绩效评价框架包括评价准则、关键评价问题、评价指标、数据来源、数据收集方法等。</w:t>
      </w:r>
      <w:bookmarkEnd w:id="4"/>
      <w:r>
        <w:rPr>
          <w:rFonts w:hint="eastAsia" w:ascii="仿宋_GB2312" w:eastAsia="仿宋_GB2312"/>
          <w:sz w:val="30"/>
        </w:rPr>
        <w:t>指标体系建立过程如下：</w:t>
      </w:r>
    </w:p>
    <w:p w14:paraId="5301C403">
      <w:pPr>
        <w:spacing w:line="560" w:lineRule="exact"/>
        <w:ind w:firstLine="708" w:firstLineChars="200"/>
        <w:rPr>
          <w:rFonts w:ascii="楷体" w:hAnsi="楷体" w:eastAsia="楷体" w:cs="楷体"/>
          <w:color w:val="000000"/>
          <w:spacing w:val="17"/>
          <w:sz w:val="32"/>
          <w:szCs w:val="32"/>
        </w:rPr>
      </w:pPr>
      <w:r>
        <w:rPr>
          <w:rFonts w:hint="eastAsia" w:ascii="楷体" w:hAnsi="楷体" w:eastAsia="楷体" w:cs="楷体"/>
          <w:color w:val="000000"/>
          <w:spacing w:val="17"/>
          <w:sz w:val="32"/>
          <w:szCs w:val="32"/>
        </w:rPr>
        <w:t>（1）确定评价指标</w:t>
      </w:r>
    </w:p>
    <w:p w14:paraId="74D1A247">
      <w:pPr>
        <w:spacing w:line="560" w:lineRule="exact"/>
        <w:ind w:firstLine="600" w:firstLineChars="200"/>
        <w:rPr>
          <w:rFonts w:ascii="仿宋_GB2312" w:eastAsia="仿宋_GB2312"/>
          <w:sz w:val="30"/>
        </w:rPr>
      </w:pPr>
      <w:r>
        <w:rPr>
          <w:rFonts w:ascii="仿宋_GB2312" w:eastAsia="仿宋_GB2312"/>
          <w:sz w:val="30"/>
        </w:rPr>
        <w:t>采用层次分析法，建立评价指标体系。绩效评价将指标分为项目决策指标、项目过程指标、项目产出指标、项目效益指标四个维度，最终形成一个由多个相互联系的指标组成的多层次指标体系。</w:t>
      </w:r>
    </w:p>
    <w:p w14:paraId="1977129B">
      <w:pPr>
        <w:spacing w:line="560" w:lineRule="exact"/>
        <w:ind w:firstLine="708" w:firstLineChars="200"/>
        <w:rPr>
          <w:rFonts w:ascii="楷体" w:hAnsi="楷体" w:eastAsia="楷体" w:cs="楷体"/>
          <w:color w:val="000000"/>
          <w:spacing w:val="17"/>
          <w:sz w:val="32"/>
          <w:szCs w:val="32"/>
        </w:rPr>
      </w:pPr>
      <w:r>
        <w:rPr>
          <w:rFonts w:ascii="楷体" w:hAnsi="楷体" w:eastAsia="楷体" w:cs="楷体"/>
          <w:color w:val="000000"/>
          <w:spacing w:val="17"/>
          <w:sz w:val="32"/>
          <w:szCs w:val="32"/>
        </w:rPr>
        <w:t>（2）确定权重</w:t>
      </w:r>
    </w:p>
    <w:p w14:paraId="7A11F0EC">
      <w:pPr>
        <w:spacing w:line="560" w:lineRule="exact"/>
        <w:ind w:firstLine="600" w:firstLineChars="200"/>
        <w:rPr>
          <w:rFonts w:ascii="仿宋_GB2312" w:eastAsia="仿宋_GB2312"/>
          <w:sz w:val="30"/>
        </w:rPr>
      </w:pPr>
      <w:r>
        <w:rPr>
          <w:rFonts w:ascii="仿宋_GB2312" w:eastAsia="仿宋_GB2312"/>
          <w:sz w:val="30"/>
        </w:rPr>
        <w:t>确定各个指标相对于项目总体绩效的权重分值。在绩效评价指标体系中，项目决策权重为20分，项目过程权重为20分，项目产出权重为40分，项目效益权重为20分。</w:t>
      </w:r>
    </w:p>
    <w:p w14:paraId="50A5D3FB">
      <w:pPr>
        <w:spacing w:line="560" w:lineRule="exact"/>
        <w:ind w:firstLine="708" w:firstLineChars="200"/>
        <w:rPr>
          <w:rFonts w:ascii="楷体" w:hAnsi="楷体" w:eastAsia="楷体" w:cs="楷体"/>
          <w:color w:val="000000"/>
          <w:spacing w:val="17"/>
          <w:sz w:val="32"/>
          <w:szCs w:val="32"/>
        </w:rPr>
      </w:pPr>
      <w:r>
        <w:rPr>
          <w:rFonts w:ascii="楷体" w:hAnsi="楷体" w:eastAsia="楷体" w:cs="楷体"/>
          <w:color w:val="000000"/>
          <w:spacing w:val="17"/>
          <w:sz w:val="32"/>
          <w:szCs w:val="32"/>
        </w:rPr>
        <w:t>（3）确定指标标准值</w:t>
      </w:r>
    </w:p>
    <w:p w14:paraId="6141A32B">
      <w:pPr>
        <w:spacing w:line="560" w:lineRule="exact"/>
        <w:ind w:firstLine="600" w:firstLineChars="200"/>
        <w:rPr>
          <w:rFonts w:ascii="仿宋_GB2312" w:eastAsia="仿宋_GB2312"/>
          <w:sz w:val="30"/>
        </w:rPr>
      </w:pPr>
      <w:r>
        <w:rPr>
          <w:rFonts w:ascii="仿宋_GB2312" w:eastAsia="仿宋_GB2312"/>
          <w:sz w:val="30"/>
        </w:rPr>
        <w:t>指标标准值是绩效评价指标的尺度，既要反映同类项目的先进水平，又要符合项目的实际绩效水平。具体采用计划标准等确定此次绩效评价指标标准值。</w:t>
      </w:r>
    </w:p>
    <w:p w14:paraId="55D5758D">
      <w:pPr>
        <w:spacing w:line="560" w:lineRule="exact"/>
        <w:ind w:firstLine="600" w:firstLineChars="200"/>
        <w:rPr>
          <w:rFonts w:ascii="仿宋_GB2312" w:eastAsia="仿宋_GB2312"/>
          <w:sz w:val="30"/>
        </w:rPr>
      </w:pPr>
      <w:r>
        <w:rPr>
          <w:rFonts w:ascii="仿宋_GB2312" w:eastAsia="仿宋_GB2312"/>
          <w:sz w:val="30"/>
        </w:rPr>
        <w:t>绩效评价总分值100分，根据综合评分结果，90（含）-100分为优、80（含）-90分为良、60（含）-80分为中、60分以下为差。</w:t>
      </w:r>
    </w:p>
    <w:p w14:paraId="7EE5C47E">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45C5ACDB">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3.绩效评价方法</w:t>
      </w:r>
    </w:p>
    <w:p w14:paraId="08B71A25">
      <w:pPr>
        <w:spacing w:line="560" w:lineRule="exact"/>
        <w:ind w:firstLine="600" w:firstLineChars="200"/>
        <w:rPr>
          <w:rFonts w:hint="eastAsia"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绩效评价从项目决策、项目过程、项目产出、项目效益四个维度进行评价。评价对象为项目目标实施情况，评价核心为资金的支出完成情况和项目的产出效益。</w:t>
      </w:r>
    </w:p>
    <w:p w14:paraId="74169BF4">
      <w:pPr>
        <w:spacing w:line="560" w:lineRule="exact"/>
        <w:ind w:firstLine="600" w:firstLineChars="200"/>
        <w:rPr>
          <w:rFonts w:hint="eastAsia" w:ascii="仿宋_GB2312" w:hAnsi="宋体" w:eastAsia="仿宋_GB2312" w:cs="仿宋_GB2312"/>
          <w:color w:val="333333"/>
          <w:sz w:val="30"/>
          <w:szCs w:val="30"/>
          <w:shd w:val="clear" w:color="auto" w:fill="FFFFFF"/>
          <w:lang w:val="en-US" w:eastAsia="zh-CN"/>
        </w:rPr>
      </w:pPr>
      <w:r>
        <w:rPr>
          <w:rFonts w:hint="eastAsia" w:ascii="仿宋_GB2312" w:hAnsi="宋体" w:eastAsia="仿宋_GB2312" w:cs="仿宋_GB2312"/>
          <w:color w:val="333333"/>
          <w:sz w:val="30"/>
          <w:szCs w:val="30"/>
          <w:shd w:val="clear" w:color="auto" w:fill="FFFFFF"/>
          <w:lang w:val="en-US" w:eastAsia="zh-CN"/>
        </w:rPr>
        <w:t>本次项目支出绩效自评采用比较法，原因是通过对绩效目标与实施效果、历史与当期情况，综合分析绩效目标实现程度，对项目最终验收情况与当年度绩效目标对比，预算资金执行情况等相关因素进行比较。</w:t>
      </w:r>
    </w:p>
    <w:p w14:paraId="1880D8BA">
      <w:pPr>
        <w:pStyle w:val="2"/>
        <w:widowControl w:val="0"/>
        <w:spacing w:before="0" w:after="0" w:line="560" w:lineRule="exact"/>
        <w:ind w:firstLine="640" w:firstLineChars="200"/>
        <w:jc w:val="both"/>
        <w:outlineLvl w:val="9"/>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4</w:t>
      </w:r>
      <w:r>
        <w:rPr>
          <w:rFonts w:hint="eastAsia" w:ascii="仿宋" w:hAnsi="仿宋" w:eastAsia="仿宋" w:cs="仿宋"/>
          <w:b/>
          <w:bCs/>
          <w:sz w:val="32"/>
          <w:szCs w:val="32"/>
          <w:highlight w:val="none"/>
          <w:lang w:val="en-US" w:eastAsia="zh-CN"/>
        </w:rPr>
        <w:t>.</w:t>
      </w:r>
      <w:r>
        <w:rPr>
          <w:rFonts w:hint="eastAsia" w:ascii="仿宋" w:hAnsi="仿宋" w:eastAsia="仿宋" w:cs="仿宋"/>
          <w:b w:val="0"/>
          <w:bCs w:val="0"/>
          <w:sz w:val="32"/>
          <w:szCs w:val="32"/>
          <w:highlight w:val="none"/>
        </w:rPr>
        <w:t>评价标准</w:t>
      </w:r>
    </w:p>
    <w:p w14:paraId="4D3DC083">
      <w:pPr>
        <w:pStyle w:val="2"/>
        <w:widowControl w:val="0"/>
        <w:spacing w:before="0" w:after="0" w:line="560" w:lineRule="exact"/>
        <w:ind w:firstLine="640" w:firstLineChars="200"/>
        <w:jc w:val="both"/>
        <w:outlineLvl w:val="9"/>
        <w:rPr>
          <w:rFonts w:ascii="仿宋_GB2312" w:hAnsi="宋体" w:eastAsia="仿宋_GB2312" w:cs="仿宋_GB2312"/>
          <w:b w:val="0"/>
          <w:bCs w:val="0"/>
          <w:color w:val="333333"/>
          <w:kern w:val="2"/>
          <w:sz w:val="30"/>
          <w:szCs w:val="30"/>
          <w:highlight w:val="yellow"/>
          <w:shd w:val="clear" w:color="auto" w:fill="FFFFFF"/>
        </w:rPr>
      </w:pPr>
      <w:r>
        <w:rPr>
          <w:rFonts w:hint="eastAsia" w:ascii="仿宋" w:hAnsi="仿宋" w:eastAsia="仿宋" w:cs="仿宋"/>
          <w:b w:val="0"/>
          <w:bCs w:val="0"/>
          <w:sz w:val="32"/>
          <w:szCs w:val="32"/>
          <w:highlight w:val="none"/>
        </w:rPr>
        <w:t>绩效评价标准通常包括计划标准、行业标准、历史标准等，用于对绩效指标完成情况进行比较、分析、评价。本次评价主要采用了计划标准</w:t>
      </w:r>
      <w:r>
        <w:rPr>
          <w:rFonts w:hint="eastAsia" w:ascii="仿宋" w:hAnsi="仿宋" w:eastAsia="仿宋" w:cs="仿宋"/>
          <w:b w:val="0"/>
          <w:bCs w:val="0"/>
          <w:sz w:val="32"/>
          <w:szCs w:val="32"/>
          <w:highlight w:val="none"/>
          <w:lang w:eastAsia="zh-CN"/>
        </w:rPr>
        <w:t>，</w:t>
      </w:r>
      <w:r>
        <w:rPr>
          <w:rFonts w:hint="eastAsia" w:ascii="仿宋" w:hAnsi="仿宋" w:eastAsia="仿宋" w:cs="仿宋"/>
          <w:b w:val="0"/>
          <w:bCs w:val="0"/>
          <w:sz w:val="32"/>
          <w:szCs w:val="32"/>
          <w:highlight w:val="none"/>
        </w:rPr>
        <w:t>原因</w:t>
      </w:r>
      <w:r>
        <w:rPr>
          <w:rFonts w:hint="eastAsia" w:ascii="仿宋" w:hAnsi="仿宋" w:eastAsia="仿宋" w:cs="仿宋"/>
          <w:b w:val="0"/>
          <w:bCs w:val="0"/>
          <w:sz w:val="32"/>
          <w:szCs w:val="32"/>
          <w:highlight w:val="none"/>
          <w:lang w:val="en-US" w:eastAsia="zh-CN"/>
        </w:rPr>
        <w:t>是：通过比较项目支出的实际结果与预先制定的目标、计划、预算。定额等，分析完成目标的因素，从而评价项目支出绩效。</w:t>
      </w:r>
    </w:p>
    <w:p w14:paraId="40BB4B9B">
      <w:pPr>
        <w:pStyle w:val="2"/>
        <w:numPr>
          <w:ilvl w:val="0"/>
          <w:numId w:val="1"/>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14:paraId="3573F739">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（1）前期准备与规划</w:t>
      </w:r>
    </w:p>
    <w:p w14:paraId="6F2F7B20">
      <w:pPr>
        <w:spacing w:line="560" w:lineRule="exact"/>
        <w:ind w:firstLine="600" w:firstLineChars="200"/>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首先成立评价工作组，开展前期调研，其次明确项目绩效目标，设计绩效评价指标体系并确定绩效评价方法；接着确定现场和非现场评价范围，设计资料清单；最后制定评价实施方案并进行论证。</w:t>
      </w:r>
    </w:p>
    <w:p w14:paraId="7107D923">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（2）指标体系构建</w:t>
      </w:r>
    </w:p>
    <w:p w14:paraId="47D01A7B">
      <w:pPr>
        <w:spacing w:line="560" w:lineRule="exact"/>
        <w:ind w:firstLine="600" w:firstLineChars="200"/>
        <w:rPr>
          <w:rFonts w:ascii="仿宋_GB2312" w:hAnsi="宋体" w:eastAsia="仿宋_GB2312" w:cs="仿宋_GB2312"/>
          <w:color w:val="333333"/>
          <w:sz w:val="30"/>
          <w:szCs w:val="30"/>
          <w:shd w:val="clear" w:color="auto" w:fill="FFFFFF"/>
        </w:rPr>
      </w:pPr>
      <w:bookmarkStart w:id="5" w:name="OLE_LINK21"/>
      <w:r>
        <w:rPr>
          <w:rFonts w:hint="eastAsia" w:ascii="仿宋_GB2312" w:hAnsi="宋体" w:eastAsia="仿宋_GB2312" w:cs="仿宋_GB2312"/>
          <w:color w:val="333333"/>
          <w:sz w:val="30"/>
          <w:szCs w:val="30"/>
          <w:shd w:val="clear" w:color="auto" w:fill="FFFFFF"/>
        </w:rPr>
        <w:t>制定绩效评价工作方案，具体包括项目概况、评价思路、方法手段、组织实施、进度安排等。收集项目立项依据、相关会议纪要、实施方案、财政资金分配方案、支付管理情况等相关评价资料并进行梳理。</w:t>
      </w:r>
      <w:bookmarkEnd w:id="5"/>
    </w:p>
    <w:p w14:paraId="14537A9C">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（3）数据收集与整理</w:t>
      </w:r>
    </w:p>
    <w:p w14:paraId="7696498F">
      <w:pPr>
        <w:spacing w:line="560" w:lineRule="exact"/>
        <w:ind w:firstLine="600" w:firstLineChars="200"/>
        <w:rPr>
          <w:rFonts w:ascii="仿宋_GB2312" w:hAnsi="宋体" w:eastAsia="仿宋_GB2312" w:cs="仿宋_GB2312"/>
          <w:color w:val="333333"/>
          <w:sz w:val="30"/>
          <w:szCs w:val="30"/>
          <w:shd w:val="clear" w:color="auto" w:fill="FFFFFF"/>
        </w:rPr>
      </w:pPr>
      <w:r>
        <w:rPr>
          <w:rFonts w:ascii="仿宋_GB2312" w:hAnsi="宋体" w:eastAsia="仿宋_GB2312" w:cs="仿宋_GB2312"/>
          <w:color w:val="333333"/>
          <w:sz w:val="30"/>
          <w:szCs w:val="30"/>
          <w:shd w:val="clear" w:color="auto" w:fill="FFFFFF"/>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28E84E9">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（4）数据分析与评估</w:t>
      </w:r>
    </w:p>
    <w:p w14:paraId="3C2E336B">
      <w:pPr>
        <w:spacing w:line="560" w:lineRule="exact"/>
        <w:ind w:firstLine="600" w:firstLineChars="200"/>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根据收集梳理的资料围绕项目立项、资金落实、业务管理、财务管理、项目产出、项目效益等内容，对照已确定的绩效评价指标进行详细全面的分析评价，逐项打分并形成绩效评价最终结果。</w:t>
      </w:r>
    </w:p>
    <w:p w14:paraId="23DB1AB5">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（5）报告撰写与反馈</w:t>
      </w:r>
    </w:p>
    <w:p w14:paraId="6A734C27">
      <w:pPr>
        <w:spacing w:line="560" w:lineRule="exact"/>
        <w:ind w:firstLine="600" w:firstLineChars="200"/>
        <w:rPr>
          <w:rFonts w:ascii="仿宋_GB2312" w:hAnsi="宋体" w:eastAsia="仿宋_GB2312" w:cs="仿宋_GB2312"/>
          <w:color w:val="333333"/>
          <w:sz w:val="30"/>
          <w:szCs w:val="30"/>
          <w:shd w:val="clear" w:color="auto" w:fill="FFFFFF"/>
        </w:rPr>
      </w:pPr>
      <w:r>
        <w:rPr>
          <w:rFonts w:ascii="仿宋_GB2312" w:hAnsi="宋体" w:eastAsia="仿宋_GB2312" w:cs="仿宋_GB2312"/>
          <w:color w:val="333333"/>
          <w:sz w:val="30"/>
          <w:szCs w:val="30"/>
          <w:shd w:val="clear" w:color="auto" w:fill="FFFFFF"/>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06245FC1">
      <w:pPr>
        <w:pStyle w:val="2"/>
        <w:widowControl w:val="0"/>
        <w:spacing w:before="0" w:after="0" w:line="560" w:lineRule="exact"/>
        <w:ind w:firstLine="640" w:firstLineChars="200"/>
        <w:jc w:val="both"/>
        <w:outlineLvl w:val="9"/>
        <w:rPr>
          <w:rFonts w:ascii="楷体" w:hAnsi="楷体" w:eastAsia="楷体" w:cs="楷体"/>
          <w:b w:val="0"/>
          <w:bCs w:val="0"/>
        </w:rPr>
      </w:pPr>
      <w:r>
        <w:rPr>
          <w:rFonts w:ascii="楷体" w:hAnsi="楷体" w:eastAsia="楷体" w:cs="楷体"/>
          <w:b w:val="0"/>
          <w:bCs w:val="0"/>
        </w:rPr>
        <w:t>（6）后续跟踪与改进</w:t>
      </w:r>
    </w:p>
    <w:p w14:paraId="2AD2A4B7">
      <w:pPr>
        <w:spacing w:line="560" w:lineRule="exact"/>
        <w:ind w:firstLine="600" w:firstLineChars="200"/>
        <w:rPr>
          <w:rFonts w:ascii="仿宋_GB2312" w:hAnsi="宋体" w:eastAsia="仿宋_GB2312" w:cs="仿宋_GB2312"/>
          <w:color w:val="333333"/>
          <w:sz w:val="30"/>
          <w:szCs w:val="30"/>
          <w:shd w:val="clear" w:color="auto" w:fill="FFFFFF"/>
        </w:rPr>
      </w:pPr>
      <w:r>
        <w:rPr>
          <w:rFonts w:ascii="仿宋_GB2312" w:hAnsi="宋体" w:eastAsia="仿宋_GB2312" w:cs="仿宋_GB2312"/>
          <w:color w:val="333333"/>
          <w:sz w:val="30"/>
          <w:szCs w:val="30"/>
          <w:shd w:val="clear" w:color="auto" w:fill="FFFFFF"/>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27877C9">
      <w:pPr>
        <w:numPr>
          <w:ilvl w:val="0"/>
          <w:numId w:val="2"/>
        </w:numPr>
        <w:spacing w:line="560" w:lineRule="exact"/>
        <w:ind w:firstLine="640" w:firstLineChars="200"/>
        <w:rPr>
          <w:rFonts w:eastAsia="黑体"/>
          <w:sz w:val="32"/>
          <w:szCs w:val="32"/>
        </w:rPr>
      </w:pPr>
      <w:r>
        <w:rPr>
          <w:rFonts w:eastAsia="黑体"/>
          <w:sz w:val="32"/>
          <w:szCs w:val="32"/>
        </w:rPr>
        <w:t>综合评价情况及评价结论</w:t>
      </w:r>
    </w:p>
    <w:p w14:paraId="553AEAEF">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14:paraId="3C586BA3">
      <w:pPr>
        <w:spacing w:line="560" w:lineRule="exact"/>
        <w:ind w:firstLine="600" w:firstLineChars="200"/>
        <w:rPr>
          <w:rFonts w:ascii="仿宋_GB2312" w:hAnsi="宋体" w:eastAsia="仿宋_GB2312" w:cs="仿宋_GB2312"/>
          <w:color w:val="333333"/>
          <w:sz w:val="30"/>
          <w:szCs w:val="30"/>
          <w:shd w:val="clear" w:color="auto" w:fill="FFFFFF"/>
        </w:rPr>
      </w:pPr>
      <w:r>
        <w:rPr>
          <w:rFonts w:hint="eastAsia" w:ascii="仿宋_GB2312" w:hAnsi="宋体" w:eastAsia="仿宋_GB2312" w:cs="仿宋_GB2312"/>
          <w:color w:val="333333"/>
          <w:sz w:val="30"/>
          <w:szCs w:val="30"/>
          <w:shd w:val="clear" w:color="auto" w:fill="FFFFFF"/>
        </w:rPr>
        <w:t>基层政协补助经费</w:t>
      </w:r>
      <w:r>
        <w:rPr>
          <w:rFonts w:ascii="仿宋_GB2312" w:hAnsi="宋体" w:eastAsia="仿宋_GB2312" w:cs="仿宋_GB2312"/>
          <w:color w:val="333333"/>
          <w:sz w:val="30"/>
          <w:szCs w:val="30"/>
          <w:shd w:val="clear" w:color="auto" w:fill="FFFFFF"/>
        </w:rPr>
        <w:t>的综合评价基于对项目各方面绩效的深入分析与评估。从项目目标的达成情况来看，</w:t>
      </w:r>
      <w:r>
        <w:rPr>
          <w:rFonts w:hint="eastAsia" w:ascii="仿宋_GB2312" w:hAnsi="宋体" w:eastAsia="仿宋_GB2312" w:cs="仿宋_GB2312"/>
          <w:color w:val="333333"/>
          <w:sz w:val="30"/>
          <w:szCs w:val="30"/>
          <w:shd w:val="clear" w:color="auto" w:fill="FFFFFF"/>
        </w:rPr>
        <w:t>105名政协委员视察、调研、委员参加培训活动，</w:t>
      </w:r>
      <w:r>
        <w:rPr>
          <w:rFonts w:ascii="仿宋_GB2312" w:hAnsi="宋体" w:eastAsia="仿宋_GB2312" w:cs="仿宋_GB2312"/>
          <w:color w:val="333333"/>
          <w:sz w:val="30"/>
          <w:szCs w:val="30"/>
          <w:shd w:val="clear" w:color="auto" w:fill="FFFFFF"/>
        </w:rPr>
        <w:t>达到了预期的标准与要求。</w:t>
      </w:r>
      <w:r>
        <w:rPr>
          <w:rFonts w:hint="eastAsia" w:ascii="仿宋_GB2312" w:hAnsi="宋体" w:eastAsia="仿宋_GB2312" w:cs="仿宋_GB2312"/>
          <w:color w:val="333333"/>
          <w:sz w:val="30"/>
          <w:szCs w:val="30"/>
          <w:shd w:val="clear" w:color="auto" w:fill="FFFFFF"/>
        </w:rPr>
        <w:t>同时也提升了政协委员工作效率，改善政协委员联络站和基层政协办公环境，增强委员履职能力，提高基层政协委员依法履行职能。</w:t>
      </w:r>
    </w:p>
    <w:p w14:paraId="7F48CC7D">
      <w:pPr>
        <w:spacing w:line="560" w:lineRule="exact"/>
        <w:ind w:firstLine="600" w:firstLineChars="200"/>
        <w:rPr>
          <w:rFonts w:ascii="仿宋_GB2312" w:hAnsi="宋体" w:eastAsia="仿宋_GB2312" w:cs="仿宋_GB2312"/>
          <w:color w:val="333333"/>
          <w:sz w:val="30"/>
          <w:szCs w:val="30"/>
          <w:shd w:val="clear" w:color="auto" w:fill="FFFFFF"/>
        </w:rPr>
      </w:pPr>
      <w:r>
        <w:rPr>
          <w:rFonts w:ascii="仿宋_GB2312" w:hAnsi="宋体" w:eastAsia="仿宋_GB2312" w:cs="仿宋_GB2312"/>
          <w:color w:val="333333"/>
          <w:sz w:val="30"/>
          <w:szCs w:val="30"/>
          <w:shd w:val="clear" w:color="auto" w:fill="FFFFFF"/>
        </w:rPr>
        <w:t>在</w:t>
      </w:r>
      <w:r>
        <w:rPr>
          <w:rFonts w:hint="eastAsia" w:ascii="仿宋_GB2312" w:hAnsi="宋体" w:eastAsia="仿宋_GB2312" w:cs="仿宋_GB2312"/>
          <w:color w:val="333333"/>
          <w:sz w:val="30"/>
          <w:szCs w:val="30"/>
          <w:shd w:val="clear" w:color="auto" w:fill="FFFFFF"/>
        </w:rPr>
        <w:t>基层政协补助经费</w:t>
      </w:r>
      <w:r>
        <w:rPr>
          <w:rFonts w:ascii="仿宋_GB2312" w:hAnsi="宋体" w:eastAsia="仿宋_GB2312" w:cs="仿宋_GB2312"/>
          <w:color w:val="333333"/>
          <w:sz w:val="30"/>
          <w:szCs w:val="30"/>
          <w:shd w:val="clear" w:color="auto" w:fill="FFFFFF"/>
        </w:rPr>
        <w:t>管理方面，</w:t>
      </w:r>
      <w:bookmarkStart w:id="6" w:name="OLE_LINK9"/>
      <w:r>
        <w:rPr>
          <w:rFonts w:hint="eastAsia" w:ascii="仿宋_GB2312" w:hAnsi="宋体" w:eastAsia="仿宋_GB2312" w:cs="仿宋_GB2312"/>
          <w:color w:val="333333"/>
          <w:sz w:val="30"/>
          <w:szCs w:val="30"/>
          <w:shd w:val="clear" w:color="auto" w:fill="FFFFFF"/>
        </w:rPr>
        <w:t>政协和硕县委员会办公室</w:t>
      </w:r>
      <w:bookmarkEnd w:id="6"/>
      <w:r>
        <w:rPr>
          <w:rFonts w:ascii="仿宋_GB2312" w:hAnsi="宋体" w:eastAsia="仿宋_GB2312" w:cs="仿宋_GB2312"/>
          <w:color w:val="333333"/>
          <w:sz w:val="30"/>
          <w:szCs w:val="30"/>
          <w:shd w:val="clear" w:color="auto" w:fill="FFFFFF"/>
        </w:rPr>
        <w:t>通过有效的规划、组织与协调，</w:t>
      </w:r>
      <w:r>
        <w:rPr>
          <w:rFonts w:hint="eastAsia" w:ascii="仿宋_GB2312" w:hAnsi="宋体" w:eastAsia="仿宋_GB2312" w:cs="仿宋_GB2312"/>
          <w:color w:val="333333"/>
          <w:sz w:val="30"/>
          <w:szCs w:val="30"/>
          <w:shd w:val="clear" w:color="auto" w:fill="FFFFFF"/>
        </w:rPr>
        <w:t>基层政协补助经费</w:t>
      </w:r>
      <w:r>
        <w:rPr>
          <w:rFonts w:ascii="仿宋_GB2312" w:hAnsi="宋体" w:eastAsia="仿宋_GB2312" w:cs="仿宋_GB2312"/>
          <w:color w:val="333333"/>
          <w:sz w:val="30"/>
          <w:szCs w:val="30"/>
          <w:shd w:val="clear" w:color="auto" w:fill="FFFFFF"/>
        </w:rPr>
        <w:t>得以顺利实施，并在预算与时间上保持了良好的控制。</w:t>
      </w:r>
    </w:p>
    <w:p w14:paraId="719F2CDF">
      <w:pPr>
        <w:pStyle w:val="10"/>
        <w:widowControl/>
        <w:spacing w:beforeAutospacing="0" w:afterAutospacing="0" w:line="560" w:lineRule="exact"/>
        <w:ind w:firstLine="600" w:firstLineChars="200"/>
        <w:rPr>
          <w:rFonts w:ascii="仿宋_GB2312" w:hAnsi="宋体" w:eastAsia="仿宋_GB2312" w:cs="仿宋_GB2312"/>
          <w:color w:val="333333"/>
          <w:kern w:val="2"/>
          <w:sz w:val="30"/>
          <w:szCs w:val="30"/>
          <w:shd w:val="clear" w:color="auto" w:fill="FFFFFF"/>
        </w:rPr>
      </w:pPr>
      <w:r>
        <w:rPr>
          <w:rFonts w:ascii="仿宋_GB2312" w:hAnsi="宋体" w:eastAsia="仿宋_GB2312" w:cs="仿宋_GB2312"/>
          <w:color w:val="333333"/>
          <w:kern w:val="2"/>
          <w:sz w:val="30"/>
          <w:szCs w:val="30"/>
          <w:shd w:val="clear" w:color="auto" w:fill="FFFFFF"/>
        </w:rPr>
        <w:t>从项目效益的角度来看，本项目不仅实现了预期的社会效益方面产生了积极的影响。具体而言，</w:t>
      </w:r>
      <w:r>
        <w:rPr>
          <w:rFonts w:hint="eastAsia" w:ascii="仿宋_GB2312" w:hAnsi="宋体" w:eastAsia="仿宋_GB2312" w:cs="仿宋_GB2312"/>
          <w:color w:val="333333"/>
          <w:kern w:val="2"/>
          <w:sz w:val="30"/>
          <w:szCs w:val="30"/>
          <w:shd w:val="clear" w:color="auto" w:fill="FFFFFF"/>
        </w:rPr>
        <w:t>提高各基层政协委员履职能力</w:t>
      </w:r>
      <w:r>
        <w:rPr>
          <w:rFonts w:ascii="仿宋_GB2312" w:hAnsi="宋体" w:eastAsia="仿宋_GB2312" w:cs="仿宋_GB2312"/>
          <w:color w:val="333333"/>
          <w:kern w:val="2"/>
          <w:sz w:val="30"/>
          <w:szCs w:val="30"/>
          <w:shd w:val="clear" w:color="auto" w:fill="FFFFFF"/>
        </w:rPr>
        <w:t>、</w:t>
      </w:r>
      <w:r>
        <w:rPr>
          <w:rFonts w:hint="eastAsia" w:ascii="仿宋_GB2312" w:hAnsi="宋体" w:eastAsia="仿宋_GB2312" w:cs="仿宋_GB2312"/>
          <w:color w:val="333333"/>
          <w:kern w:val="2"/>
          <w:sz w:val="30"/>
          <w:szCs w:val="30"/>
          <w:shd w:val="clear" w:color="auto" w:fill="FFFFFF"/>
        </w:rPr>
        <w:t>改善各基层政协办公环境</w:t>
      </w:r>
      <w:r>
        <w:rPr>
          <w:rFonts w:ascii="仿宋_GB2312" w:hAnsi="宋体" w:eastAsia="仿宋_GB2312" w:cs="仿宋_GB2312"/>
          <w:color w:val="333333"/>
          <w:kern w:val="2"/>
          <w:sz w:val="30"/>
          <w:szCs w:val="30"/>
          <w:shd w:val="clear" w:color="auto" w:fill="FFFFFF"/>
        </w:rPr>
        <w:t>等方面的提升，为项目的利益相关者带来了实实在在的利益。</w:t>
      </w:r>
    </w:p>
    <w:p w14:paraId="6CD9EB12">
      <w:pPr>
        <w:pStyle w:val="10"/>
        <w:widowControl/>
        <w:spacing w:beforeAutospacing="0" w:afterAutospacing="0" w:line="560" w:lineRule="exact"/>
        <w:ind w:firstLine="600" w:firstLineChars="200"/>
        <w:rPr>
          <w:rFonts w:ascii="仿宋_GB2312" w:hAnsi="宋体" w:eastAsia="仿宋_GB2312" w:cs="仿宋_GB2312"/>
          <w:color w:val="333333"/>
          <w:kern w:val="2"/>
          <w:sz w:val="30"/>
          <w:szCs w:val="30"/>
          <w:shd w:val="clear" w:color="auto" w:fill="FFFFFF"/>
        </w:rPr>
      </w:pPr>
      <w:r>
        <w:rPr>
          <w:rFonts w:ascii="仿宋_GB2312" w:hAnsi="宋体" w:eastAsia="仿宋_GB2312" w:cs="仿宋_GB2312"/>
          <w:color w:val="333333"/>
          <w:kern w:val="2"/>
          <w:sz w:val="30"/>
          <w:szCs w:val="30"/>
          <w:shd w:val="clear" w:color="auto" w:fill="FFFFFF"/>
        </w:rPr>
        <w:t>综上所述，</w:t>
      </w:r>
      <w:r>
        <w:rPr>
          <w:rFonts w:hint="eastAsia" w:ascii="仿宋_GB2312" w:hAnsi="宋体" w:eastAsia="仿宋_GB2312" w:cs="仿宋_GB2312"/>
          <w:color w:val="333333"/>
          <w:kern w:val="2"/>
          <w:sz w:val="30"/>
          <w:szCs w:val="30"/>
          <w:shd w:val="clear" w:color="auto" w:fill="FFFFFF"/>
        </w:rPr>
        <w:t>自治区基层政协补助经费</w:t>
      </w:r>
      <w:r>
        <w:rPr>
          <w:rFonts w:ascii="仿宋_GB2312" w:hAnsi="宋体" w:eastAsia="仿宋_GB2312" w:cs="仿宋_GB2312"/>
          <w:color w:val="333333"/>
          <w:kern w:val="2"/>
          <w:sz w:val="30"/>
          <w:szCs w:val="30"/>
          <w:shd w:val="clear" w:color="auto" w:fill="FFFFFF"/>
        </w:rPr>
        <w:t>在绩效评价中表现出色，达到了项目的预期目标，并在多个方面取得了显著的成效。</w:t>
      </w:r>
    </w:p>
    <w:p w14:paraId="400405EA">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14:paraId="4682B741">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lang w:val="en-US" w:eastAsia="zh-CN"/>
        </w:rPr>
        <w:t>99.92</w:t>
      </w:r>
      <w:r>
        <w:rPr>
          <w:rFonts w:ascii="Times New Roman" w:hAnsi="Times New Roman" w:eastAsia="仿宋_GB2312"/>
          <w:b w:val="0"/>
          <w:bCs w:val="0"/>
        </w:rPr>
        <w:t>分，属于“优”。其中，项目决策类指标权重为20分，得分为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w:t>
      </w:r>
      <w:bookmarkStart w:id="7" w:name="OLE_LINK10"/>
      <w:r>
        <w:rPr>
          <w:rFonts w:ascii="Times New Roman" w:hAnsi="Times New Roman" w:eastAsia="仿宋_GB2312"/>
          <w:b w:val="0"/>
          <w:bCs w:val="0"/>
        </w:rPr>
        <w:t>，得分率为</w:t>
      </w:r>
      <w:r>
        <w:rPr>
          <w:rFonts w:hint="eastAsia" w:ascii="Times New Roman" w:hAnsi="Times New Roman" w:eastAsia="仿宋_GB2312"/>
          <w:b w:val="0"/>
          <w:bCs w:val="0"/>
        </w:rPr>
        <w:t>10</w:t>
      </w:r>
      <w:bookmarkEnd w:id="7"/>
      <w:r>
        <w:rPr>
          <w:rFonts w:hint="eastAsia" w:ascii="Times New Roman" w:hAnsi="Times New Roman" w:eastAsia="仿宋_GB2312"/>
          <w:b w:val="0"/>
          <w:bCs w:val="0"/>
        </w:rPr>
        <w:t>0</w:t>
      </w:r>
      <w:r>
        <w:rPr>
          <w:rFonts w:ascii="Times New Roman" w:hAnsi="Times New Roman" w:eastAsia="仿宋_GB2312"/>
          <w:b w:val="0"/>
          <w:bCs w:val="0"/>
        </w:rPr>
        <w:t>%。项目过程类指标权重为20分，得分为</w:t>
      </w:r>
      <w:r>
        <w:rPr>
          <w:rFonts w:hint="eastAsia" w:ascii="Times New Roman" w:hAnsi="Times New Roman" w:eastAsia="仿宋_GB2312"/>
          <w:b w:val="0"/>
          <w:bCs w:val="0"/>
          <w:lang w:val="en-US" w:eastAsia="zh-CN"/>
        </w:rPr>
        <w:t>19.98</w:t>
      </w:r>
      <w:r>
        <w:rPr>
          <w:rFonts w:ascii="Times New Roman" w:hAnsi="Times New Roman" w:eastAsia="仿宋_GB2312"/>
          <w:b w:val="0"/>
          <w:bCs w:val="0"/>
        </w:rPr>
        <w:t>分，得分率为</w:t>
      </w:r>
      <w:r>
        <w:rPr>
          <w:rFonts w:hint="eastAsia" w:ascii="Times New Roman" w:hAnsi="Times New Roman" w:eastAsia="仿宋_GB2312"/>
          <w:b w:val="0"/>
          <w:bCs w:val="0"/>
        </w:rPr>
        <w:t>99.</w:t>
      </w:r>
      <w:r>
        <w:rPr>
          <w:rFonts w:hint="eastAsia" w:ascii="Times New Roman" w:hAnsi="Times New Roman" w:eastAsia="仿宋_GB2312"/>
          <w:b w:val="0"/>
          <w:bCs w:val="0"/>
          <w:lang w:val="en-US" w:eastAsia="zh-CN"/>
        </w:rPr>
        <w:t>9</w:t>
      </w:r>
      <w:r>
        <w:rPr>
          <w:rFonts w:ascii="Times New Roman" w:hAnsi="Times New Roman" w:eastAsia="仿宋_GB2312"/>
          <w:b w:val="0"/>
          <w:bCs w:val="0"/>
        </w:rPr>
        <w:t>%。项目产出类指标</w:t>
      </w:r>
      <w:r>
        <w:rPr>
          <w:rFonts w:hint="eastAsia" w:ascii="仿宋_GB2312" w:hAnsi="宋体" w:eastAsia="仿宋_GB2312" w:cs="仿宋_GB2312"/>
          <w:b w:val="0"/>
          <w:bCs w:val="0"/>
          <w:color w:val="333333"/>
          <w:kern w:val="2"/>
          <w:sz w:val="30"/>
          <w:szCs w:val="30"/>
          <w:shd w:val="clear" w:color="auto" w:fill="FFFFFF"/>
          <w:lang w:val="en-US" w:eastAsia="zh-CN" w:bidi="ar-SA"/>
        </w:rPr>
        <w:t>权重为40分，得分为39.94分，得分率为 99.85%。项目效益类指标权重为20分，得分为20分，</w:t>
      </w:r>
      <w:r>
        <w:rPr>
          <w:rFonts w:ascii="Times New Roman" w:hAnsi="Times New Roman" w:eastAsia="仿宋_GB2312"/>
          <w:b w:val="0"/>
          <w:bCs w:val="0"/>
        </w:rPr>
        <w:t>得分率为</w:t>
      </w:r>
      <w:r>
        <w:rPr>
          <w:rFonts w:hint="eastAsia" w:ascii="Times New Roman" w:hAnsi="Times New Roman" w:eastAsia="仿宋_GB2312"/>
          <w:b w:val="0"/>
          <w:bCs w:val="0"/>
        </w:rPr>
        <w:t>100</w:t>
      </w:r>
      <w:r>
        <w:rPr>
          <w:rFonts w:ascii="Times New Roman" w:hAnsi="Times New Roman" w:eastAsia="仿宋_GB2312"/>
          <w:b w:val="0"/>
          <w:bCs w:val="0"/>
        </w:rPr>
        <w:t>%。具体打分情况详见：附件1综合评分表。</w:t>
      </w:r>
    </w:p>
    <w:p w14:paraId="243AD114">
      <w:pPr>
        <w:pStyle w:val="2"/>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7C56AC4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4F32473A">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1742A7F8">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0A8B756">
            <w:pPr>
              <w:jc w:val="center"/>
              <w:rPr>
                <w:rFonts w:eastAsia="仿宋_GB2312"/>
                <w:b/>
                <w:bCs/>
                <w:color w:val="000000"/>
                <w:szCs w:val="21"/>
              </w:rPr>
            </w:pPr>
            <w:r>
              <w:rPr>
                <w:rFonts w:eastAsia="仿宋_GB2312"/>
                <w:b/>
                <w:bCs/>
                <w:color w:val="000000"/>
                <w:szCs w:val="21"/>
              </w:rPr>
              <w:t>得分</w:t>
            </w:r>
          </w:p>
        </w:tc>
      </w:tr>
      <w:tr w14:paraId="3A33613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ED3BA5F">
            <w:pPr>
              <w:jc w:val="center"/>
              <w:rPr>
                <w:rFonts w:eastAsia="仿宋_GB2312"/>
                <w:color w:val="000000"/>
                <w:szCs w:val="21"/>
                <w:highlight w:val="none"/>
              </w:rPr>
            </w:pPr>
            <w:r>
              <w:rPr>
                <w:rFonts w:eastAsia="仿宋_GB2312"/>
                <w:color w:val="000000"/>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5EFA741F">
            <w:pPr>
              <w:jc w:val="center"/>
              <w:rPr>
                <w:rFonts w:eastAsia="仿宋_GB2312"/>
                <w:color w:val="000000"/>
                <w:szCs w:val="21"/>
                <w:highlight w:val="none"/>
              </w:rPr>
            </w:pPr>
            <w:r>
              <w:rPr>
                <w:rFonts w:eastAsia="仿宋_GB2312"/>
                <w:color w:val="000000"/>
                <w:szCs w:val="21"/>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3116B426">
            <w:pPr>
              <w:jc w:val="center"/>
              <w:rPr>
                <w:rFonts w:eastAsia="仿宋_GB2312"/>
                <w:color w:val="000000"/>
                <w:szCs w:val="21"/>
                <w:highlight w:val="none"/>
              </w:rPr>
            </w:pPr>
            <w:r>
              <w:rPr>
                <w:rFonts w:hint="eastAsia" w:eastAsia="仿宋_GB2312"/>
                <w:color w:val="000000"/>
                <w:szCs w:val="21"/>
                <w:highlight w:val="none"/>
              </w:rPr>
              <w:t>20</w:t>
            </w:r>
          </w:p>
        </w:tc>
      </w:tr>
      <w:tr w14:paraId="708923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0A5BC1B">
            <w:pPr>
              <w:jc w:val="center"/>
              <w:rPr>
                <w:rFonts w:eastAsia="仿宋_GB2312"/>
                <w:color w:val="000000"/>
                <w:szCs w:val="21"/>
                <w:highlight w:val="none"/>
              </w:rPr>
            </w:pPr>
            <w:r>
              <w:rPr>
                <w:rFonts w:eastAsia="仿宋_GB2312"/>
                <w:color w:val="000000"/>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205C01B3">
            <w:pPr>
              <w:jc w:val="center"/>
              <w:rPr>
                <w:rFonts w:eastAsia="仿宋_GB2312"/>
                <w:color w:val="000000"/>
                <w:szCs w:val="21"/>
                <w:highlight w:val="none"/>
              </w:rPr>
            </w:pPr>
            <w:r>
              <w:rPr>
                <w:rFonts w:eastAsia="仿宋_GB2312"/>
                <w:color w:val="000000"/>
                <w:szCs w:val="21"/>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27A0A7CE">
            <w:pPr>
              <w:jc w:val="center"/>
              <w:rPr>
                <w:rFonts w:hint="default" w:eastAsia="仿宋_GB2312"/>
                <w:color w:val="000000"/>
                <w:szCs w:val="21"/>
                <w:highlight w:val="none"/>
                <w:lang w:val="en-US" w:eastAsia="zh-CN"/>
              </w:rPr>
            </w:pPr>
            <w:r>
              <w:rPr>
                <w:rFonts w:hint="eastAsia" w:eastAsia="仿宋_GB2312"/>
                <w:color w:val="000000"/>
                <w:szCs w:val="21"/>
                <w:highlight w:val="none"/>
                <w:lang w:val="en-US" w:eastAsia="zh-CN"/>
              </w:rPr>
              <w:t>19.98</w:t>
            </w:r>
          </w:p>
        </w:tc>
      </w:tr>
      <w:tr w14:paraId="2B22D01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35D87F4">
            <w:pPr>
              <w:jc w:val="center"/>
              <w:rPr>
                <w:rFonts w:eastAsia="仿宋_GB2312"/>
                <w:color w:val="000000"/>
                <w:szCs w:val="21"/>
                <w:highlight w:val="none"/>
              </w:rPr>
            </w:pPr>
            <w:r>
              <w:rPr>
                <w:rFonts w:eastAsia="仿宋_GB2312"/>
                <w:color w:val="000000"/>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0103E95C">
            <w:pPr>
              <w:jc w:val="center"/>
              <w:rPr>
                <w:rFonts w:eastAsia="仿宋_GB2312"/>
                <w:color w:val="000000"/>
                <w:szCs w:val="21"/>
                <w:highlight w:val="none"/>
              </w:rPr>
            </w:pPr>
            <w:r>
              <w:rPr>
                <w:rFonts w:eastAsia="仿宋_GB2312"/>
                <w:color w:val="000000"/>
                <w:szCs w:val="21"/>
                <w:highlight w:val="none"/>
              </w:rPr>
              <w:t>40</w:t>
            </w:r>
          </w:p>
        </w:tc>
        <w:tc>
          <w:tcPr>
            <w:tcW w:w="2278" w:type="dxa"/>
            <w:tcBorders>
              <w:top w:val="nil"/>
              <w:left w:val="nil"/>
              <w:bottom w:val="single" w:color="auto" w:sz="4" w:space="0"/>
              <w:right w:val="single" w:color="auto" w:sz="4" w:space="0"/>
            </w:tcBorders>
            <w:shd w:val="clear" w:color="auto" w:fill="auto"/>
            <w:vAlign w:val="center"/>
          </w:tcPr>
          <w:p w14:paraId="579AB180">
            <w:pPr>
              <w:jc w:val="center"/>
              <w:rPr>
                <w:rFonts w:hint="default" w:eastAsia="仿宋_GB2312"/>
                <w:color w:val="000000"/>
                <w:szCs w:val="21"/>
                <w:highlight w:val="none"/>
                <w:lang w:val="en-US" w:eastAsia="zh-CN"/>
              </w:rPr>
            </w:pPr>
            <w:r>
              <w:rPr>
                <w:rFonts w:hint="eastAsia" w:eastAsia="仿宋_GB2312"/>
                <w:color w:val="000000"/>
                <w:szCs w:val="21"/>
                <w:highlight w:val="none"/>
                <w:lang w:val="en-US" w:eastAsia="zh-CN"/>
              </w:rPr>
              <w:t>39.94</w:t>
            </w:r>
          </w:p>
        </w:tc>
      </w:tr>
      <w:tr w14:paraId="339B57BF">
        <w:tblPrEx>
          <w:tblCellMar>
            <w:top w:w="0" w:type="dxa"/>
            <w:left w:w="108" w:type="dxa"/>
            <w:bottom w:w="0" w:type="dxa"/>
            <w:right w:w="108" w:type="dxa"/>
          </w:tblCellMar>
        </w:tblPrEx>
        <w:trPr>
          <w:trHeight w:val="326"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F711E2F">
            <w:pPr>
              <w:jc w:val="center"/>
              <w:rPr>
                <w:rFonts w:eastAsia="仿宋_GB2312"/>
                <w:color w:val="000000"/>
                <w:szCs w:val="21"/>
                <w:highlight w:val="none"/>
              </w:rPr>
            </w:pPr>
            <w:r>
              <w:rPr>
                <w:rFonts w:eastAsia="仿宋_GB2312"/>
                <w:color w:val="000000"/>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15E7ABFF">
            <w:pPr>
              <w:jc w:val="center"/>
              <w:rPr>
                <w:rFonts w:eastAsia="仿宋_GB2312"/>
                <w:color w:val="000000"/>
                <w:szCs w:val="21"/>
                <w:highlight w:val="none"/>
              </w:rPr>
            </w:pPr>
            <w:r>
              <w:rPr>
                <w:rFonts w:eastAsia="仿宋_GB2312"/>
                <w:color w:val="000000"/>
                <w:szCs w:val="21"/>
                <w:highlight w:val="none"/>
              </w:rPr>
              <w:t>20</w:t>
            </w:r>
          </w:p>
        </w:tc>
        <w:tc>
          <w:tcPr>
            <w:tcW w:w="2278" w:type="dxa"/>
            <w:tcBorders>
              <w:top w:val="nil"/>
              <w:left w:val="nil"/>
              <w:bottom w:val="single" w:color="auto" w:sz="4" w:space="0"/>
              <w:right w:val="single" w:color="auto" w:sz="4" w:space="0"/>
            </w:tcBorders>
            <w:shd w:val="clear" w:color="auto" w:fill="auto"/>
            <w:vAlign w:val="center"/>
          </w:tcPr>
          <w:p w14:paraId="40B7C81F">
            <w:pPr>
              <w:jc w:val="center"/>
              <w:rPr>
                <w:rFonts w:eastAsia="仿宋_GB2312"/>
                <w:color w:val="000000"/>
                <w:szCs w:val="21"/>
                <w:highlight w:val="none"/>
              </w:rPr>
            </w:pPr>
            <w:r>
              <w:rPr>
                <w:rFonts w:hint="eastAsia" w:eastAsia="仿宋_GB2312"/>
                <w:color w:val="000000"/>
                <w:szCs w:val="21"/>
                <w:highlight w:val="none"/>
              </w:rPr>
              <w:t>20</w:t>
            </w:r>
          </w:p>
        </w:tc>
      </w:tr>
      <w:tr w14:paraId="21A8C97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9D5DA8">
            <w:pPr>
              <w:jc w:val="center"/>
              <w:rPr>
                <w:rFonts w:eastAsia="仿宋_GB2312"/>
                <w:b/>
                <w:bCs/>
                <w:color w:val="000000"/>
                <w:szCs w:val="21"/>
                <w:highlight w:val="none"/>
              </w:rPr>
            </w:pPr>
            <w:r>
              <w:rPr>
                <w:rFonts w:eastAsia="仿宋_GB2312"/>
                <w:b/>
                <w:bCs/>
                <w:color w:val="000000"/>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698EFC8F">
            <w:pPr>
              <w:jc w:val="center"/>
              <w:rPr>
                <w:rFonts w:eastAsia="仿宋_GB2312"/>
                <w:b/>
                <w:bCs/>
                <w:color w:val="000000"/>
                <w:szCs w:val="21"/>
                <w:highlight w:val="none"/>
              </w:rPr>
            </w:pPr>
            <w:r>
              <w:rPr>
                <w:rFonts w:eastAsia="仿宋_GB2312"/>
                <w:b/>
                <w:bCs/>
                <w:color w:val="000000"/>
                <w:szCs w:val="21"/>
                <w:highlight w:val="none"/>
              </w:rPr>
              <w:t>100</w:t>
            </w:r>
          </w:p>
        </w:tc>
        <w:tc>
          <w:tcPr>
            <w:tcW w:w="2278" w:type="dxa"/>
            <w:tcBorders>
              <w:top w:val="nil"/>
              <w:left w:val="nil"/>
              <w:bottom w:val="single" w:color="auto" w:sz="4" w:space="0"/>
              <w:right w:val="single" w:color="auto" w:sz="4" w:space="0"/>
            </w:tcBorders>
            <w:shd w:val="clear" w:color="auto" w:fill="auto"/>
            <w:vAlign w:val="center"/>
          </w:tcPr>
          <w:p w14:paraId="4DB35546">
            <w:pPr>
              <w:jc w:val="center"/>
              <w:rPr>
                <w:rFonts w:hint="default" w:eastAsia="仿宋_GB2312"/>
                <w:b/>
                <w:bCs/>
                <w:color w:val="000000"/>
                <w:szCs w:val="21"/>
                <w:highlight w:val="none"/>
                <w:lang w:val="en-US" w:eastAsia="zh-CN"/>
              </w:rPr>
            </w:pPr>
            <w:r>
              <w:rPr>
                <w:rFonts w:hint="eastAsia" w:eastAsia="仿宋_GB2312"/>
                <w:b/>
                <w:bCs/>
                <w:color w:val="000000"/>
                <w:szCs w:val="21"/>
                <w:highlight w:val="none"/>
                <w:lang w:val="en-US" w:eastAsia="zh-CN"/>
              </w:rPr>
              <w:t>99.92</w:t>
            </w:r>
          </w:p>
        </w:tc>
      </w:tr>
    </w:tbl>
    <w:p w14:paraId="421D6FFA">
      <w:pPr>
        <w:spacing w:line="560" w:lineRule="exact"/>
        <w:ind w:firstLine="640" w:firstLineChars="200"/>
        <w:rPr>
          <w:rFonts w:eastAsia="黑体"/>
          <w:sz w:val="32"/>
          <w:szCs w:val="32"/>
        </w:rPr>
      </w:pPr>
      <w:r>
        <w:rPr>
          <w:rFonts w:eastAsia="黑体"/>
          <w:sz w:val="32"/>
          <w:szCs w:val="32"/>
          <w:highlight w:val="none"/>
        </w:rPr>
        <w:t>四、绩效评价指标分析</w:t>
      </w:r>
    </w:p>
    <w:p w14:paraId="4020FD37">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43AE9760">
      <w:pPr>
        <w:spacing w:line="600" w:lineRule="exact"/>
        <w:ind w:firstLine="640" w:firstLineChars="200"/>
        <w:outlineLvl w:val="0"/>
        <w:rPr>
          <w:rFonts w:eastAsia="仿宋_GB2312"/>
          <w:kern w:val="28"/>
          <w:sz w:val="32"/>
          <w:szCs w:val="32"/>
        </w:rPr>
      </w:pPr>
      <w:r>
        <w:rPr>
          <w:rFonts w:eastAsia="仿宋_GB2312"/>
          <w:kern w:val="28"/>
          <w:sz w:val="32"/>
          <w:szCs w:val="32"/>
        </w:rPr>
        <w:t>项目决策类指标包括项目立项、绩效目标和资金投入三方面的内容，由</w:t>
      </w:r>
      <w:r>
        <w:rPr>
          <w:rFonts w:hint="eastAsia" w:eastAsia="仿宋_GB2312"/>
          <w:kern w:val="28"/>
          <w:sz w:val="32"/>
          <w:szCs w:val="32"/>
        </w:rPr>
        <w:t>6</w:t>
      </w:r>
      <w:r>
        <w:rPr>
          <w:rFonts w:eastAsia="仿宋_GB2312"/>
          <w:kern w:val="28"/>
          <w:sz w:val="32"/>
          <w:szCs w:val="32"/>
        </w:rPr>
        <w:t>个三级指标构成，权重分值为</w:t>
      </w:r>
      <w:r>
        <w:rPr>
          <w:rFonts w:hint="eastAsia" w:eastAsia="仿宋_GB2312"/>
          <w:kern w:val="28"/>
          <w:sz w:val="32"/>
          <w:szCs w:val="32"/>
        </w:rPr>
        <w:t>20</w:t>
      </w:r>
      <w:r>
        <w:rPr>
          <w:rFonts w:eastAsia="仿宋_GB2312"/>
          <w:kern w:val="28"/>
          <w:sz w:val="32"/>
          <w:szCs w:val="32"/>
        </w:rPr>
        <w:t>分，实际得分</w:t>
      </w:r>
      <w:r>
        <w:rPr>
          <w:rFonts w:hint="eastAsia" w:eastAsia="仿宋_GB2312"/>
          <w:kern w:val="28"/>
          <w:sz w:val="32"/>
          <w:szCs w:val="32"/>
        </w:rPr>
        <w:t>20</w:t>
      </w:r>
      <w:r>
        <w:rPr>
          <w:rFonts w:eastAsia="仿宋_GB2312"/>
          <w:kern w:val="28"/>
          <w:sz w:val="32"/>
          <w:szCs w:val="32"/>
        </w:rPr>
        <w:t>分，得分率为</w:t>
      </w:r>
      <w:r>
        <w:rPr>
          <w:rFonts w:hint="eastAsia" w:eastAsia="仿宋_GB2312"/>
          <w:kern w:val="28"/>
          <w:sz w:val="32"/>
          <w:szCs w:val="32"/>
        </w:rPr>
        <w:t>100</w:t>
      </w:r>
      <w:r>
        <w:rPr>
          <w:rFonts w:eastAsia="仿宋_GB2312"/>
          <w:kern w:val="28"/>
          <w:sz w:val="32"/>
          <w:szCs w:val="32"/>
        </w:rPr>
        <w:t>%。</w:t>
      </w:r>
    </w:p>
    <w:p w14:paraId="01F45476">
      <w:pPr>
        <w:pStyle w:val="21"/>
        <w:spacing w:line="560" w:lineRule="exact"/>
        <w:ind w:firstLine="640"/>
        <w:rPr>
          <w:rFonts w:eastAsia="仿宋_GB2312"/>
          <w:b/>
          <w:bCs/>
          <w:sz w:val="32"/>
          <w:szCs w:val="32"/>
        </w:rPr>
      </w:pPr>
      <w:r>
        <w:rPr>
          <w:rFonts w:eastAsia="仿宋_GB2312"/>
          <w:b/>
          <w:bCs/>
          <w:sz w:val="32"/>
          <w:szCs w:val="32"/>
        </w:rPr>
        <w:t>1.项目立项</w:t>
      </w:r>
    </w:p>
    <w:p w14:paraId="16B50BD0">
      <w:pPr>
        <w:pStyle w:val="2"/>
        <w:spacing w:before="0" w:after="0" w:line="560" w:lineRule="exact"/>
        <w:ind w:firstLine="640" w:firstLineChars="200"/>
        <w:jc w:val="both"/>
        <w:rPr>
          <w:rFonts w:ascii="楷体" w:hAnsi="楷体" w:eastAsia="楷体" w:cs="楷体"/>
          <w:b w:val="0"/>
          <w:bCs w:val="0"/>
        </w:rPr>
      </w:pPr>
      <w:r>
        <w:rPr>
          <w:rFonts w:hint="eastAsia" w:ascii="楷体" w:hAnsi="楷体" w:eastAsia="楷体" w:cs="楷体"/>
          <w:b w:val="0"/>
          <w:bCs w:val="0"/>
        </w:rPr>
        <w:t>（1）立项依据充分性</w:t>
      </w:r>
    </w:p>
    <w:p w14:paraId="5B423D4F">
      <w:pPr>
        <w:spacing w:line="600" w:lineRule="exact"/>
        <w:ind w:firstLine="640" w:firstLineChars="200"/>
        <w:outlineLvl w:val="0"/>
        <w:rPr>
          <w:rFonts w:eastAsia="仿宋_GB2312"/>
          <w:kern w:val="28"/>
          <w:sz w:val="32"/>
          <w:szCs w:val="32"/>
        </w:rPr>
      </w:pPr>
      <w:r>
        <w:rPr>
          <w:rFonts w:hint="eastAsia" w:eastAsia="仿宋_GB2312"/>
          <w:kern w:val="28"/>
          <w:sz w:val="32"/>
          <w:szCs w:val="32"/>
        </w:rPr>
        <w:t>根据自治州财政局《关于提前下达2024年度自治区基层人大补助经费的通知》（巴财行[2023]51号）文件精神，下达2024年度自治区基层政协补助经费5万元。此项目的立项符合国家法律法规，国民经济发展规划和相关政策，符合政协机关部门规划和政策要求，与政协机关部门职责范围相符，</w:t>
      </w:r>
      <w:r>
        <w:rPr>
          <w:rFonts w:hint="eastAsia" w:eastAsia="仿宋_GB2312"/>
          <w:kern w:val="28"/>
          <w:sz w:val="32"/>
          <w:szCs w:val="32"/>
          <w:lang w:eastAsia="zh-CN"/>
        </w:rPr>
        <w:t>属于部门</w:t>
      </w:r>
      <w:r>
        <w:rPr>
          <w:rFonts w:hint="eastAsia" w:eastAsia="仿宋_GB2312"/>
          <w:kern w:val="28"/>
          <w:sz w:val="32"/>
          <w:szCs w:val="32"/>
        </w:rPr>
        <w:t>履职所需、项目是属于公共财政支持范围，不与相关部门同类项目重复。</w:t>
      </w:r>
    </w:p>
    <w:p w14:paraId="585BA42B">
      <w:pPr>
        <w:spacing w:line="600" w:lineRule="exact"/>
        <w:ind w:firstLine="640" w:firstLineChars="200"/>
        <w:outlineLvl w:val="0"/>
        <w:rPr>
          <w:rFonts w:eastAsia="仿宋_GB2312"/>
          <w:kern w:val="28"/>
          <w:sz w:val="32"/>
          <w:szCs w:val="32"/>
        </w:rPr>
      </w:pPr>
      <w:r>
        <w:rPr>
          <w:rFonts w:hint="eastAsia" w:eastAsia="仿宋_GB2312"/>
          <w:kern w:val="28"/>
          <w:sz w:val="32"/>
          <w:szCs w:val="32"/>
        </w:rPr>
        <w:t>此项权重分3分，得分3分。</w:t>
      </w:r>
    </w:p>
    <w:p w14:paraId="77115BA1">
      <w:pPr>
        <w:pStyle w:val="2"/>
        <w:spacing w:before="0" w:after="0" w:line="560" w:lineRule="exact"/>
        <w:ind w:firstLine="640" w:firstLineChars="200"/>
        <w:jc w:val="both"/>
        <w:rPr>
          <w:rFonts w:ascii="楷体" w:hAnsi="楷体" w:eastAsia="楷体" w:cs="楷体"/>
          <w:b w:val="0"/>
          <w:bCs w:val="0"/>
        </w:rPr>
      </w:pPr>
      <w:r>
        <w:rPr>
          <w:rFonts w:ascii="楷体" w:hAnsi="楷体" w:eastAsia="楷体" w:cs="楷体"/>
          <w:b w:val="0"/>
          <w:bCs w:val="0"/>
        </w:rPr>
        <w:t>（2）立项程序规范性</w:t>
      </w:r>
    </w:p>
    <w:p w14:paraId="78B10B9E">
      <w:pPr>
        <w:pStyle w:val="2"/>
        <w:spacing w:before="0" w:after="0" w:line="560" w:lineRule="exact"/>
        <w:ind w:firstLine="640" w:firstLineChars="200"/>
        <w:jc w:val="both"/>
        <w:rPr>
          <w:rFonts w:ascii="Times New Roman" w:hAnsi="Times New Roman" w:eastAsia="仿宋_GB2312"/>
          <w:b w:val="0"/>
          <w:bCs w:val="0"/>
        </w:rPr>
      </w:pPr>
      <w:r>
        <w:rPr>
          <w:rFonts w:hint="eastAsia" w:ascii="Times New Roman" w:hAnsi="Times New Roman" w:eastAsia="仿宋_GB2312"/>
          <w:b w:val="0"/>
          <w:bCs w:val="0"/>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集体决策保障了程序的规范性。</w:t>
      </w:r>
    </w:p>
    <w:p w14:paraId="12BF7A43">
      <w:pPr>
        <w:pStyle w:val="21"/>
        <w:spacing w:line="560" w:lineRule="exact"/>
        <w:ind w:firstLine="640"/>
        <w:rPr>
          <w:rFonts w:eastAsia="仿宋_GB2312"/>
          <w:kern w:val="28"/>
          <w:sz w:val="32"/>
          <w:szCs w:val="32"/>
        </w:rPr>
      </w:pPr>
      <w:r>
        <w:rPr>
          <w:rFonts w:hint="eastAsia" w:eastAsia="仿宋_GB2312"/>
          <w:kern w:val="28"/>
          <w:sz w:val="32"/>
          <w:szCs w:val="32"/>
        </w:rPr>
        <w:t>此项权重分3分，得分3分。</w:t>
      </w:r>
    </w:p>
    <w:p w14:paraId="5F7DA395">
      <w:pPr>
        <w:pStyle w:val="21"/>
        <w:spacing w:line="560" w:lineRule="exact"/>
        <w:ind w:firstLine="640"/>
        <w:rPr>
          <w:rFonts w:eastAsia="仿宋_GB2312"/>
          <w:b/>
          <w:bCs/>
          <w:sz w:val="32"/>
          <w:szCs w:val="32"/>
        </w:rPr>
      </w:pPr>
      <w:r>
        <w:rPr>
          <w:rFonts w:eastAsia="仿宋_GB2312"/>
          <w:b/>
          <w:bCs/>
          <w:sz w:val="32"/>
          <w:szCs w:val="32"/>
        </w:rPr>
        <w:t>2.绩效目标</w:t>
      </w:r>
    </w:p>
    <w:p w14:paraId="2B0490BD">
      <w:pPr>
        <w:pStyle w:val="2"/>
        <w:spacing w:before="0" w:after="0" w:line="560" w:lineRule="exact"/>
        <w:ind w:firstLine="640" w:firstLineChars="200"/>
        <w:jc w:val="both"/>
        <w:rPr>
          <w:rFonts w:ascii="楷体" w:hAnsi="楷体" w:eastAsia="楷体" w:cs="楷体"/>
          <w:b w:val="0"/>
          <w:bCs w:val="0"/>
        </w:rPr>
      </w:pPr>
      <w:r>
        <w:rPr>
          <w:rFonts w:ascii="楷体" w:hAnsi="楷体" w:eastAsia="楷体" w:cs="楷体"/>
          <w:b w:val="0"/>
          <w:bCs w:val="0"/>
        </w:rPr>
        <w:t>（1）绩效目标合理性</w:t>
      </w:r>
    </w:p>
    <w:p w14:paraId="4B9997F3">
      <w:pPr>
        <w:spacing w:line="560" w:lineRule="exact"/>
        <w:ind w:firstLine="640" w:firstLineChars="200"/>
        <w:rPr>
          <w:rFonts w:eastAsia="仿宋_GB2312"/>
          <w:kern w:val="28"/>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F2C2C67">
      <w:pPr>
        <w:spacing w:line="560" w:lineRule="exact"/>
        <w:ind w:firstLine="640" w:firstLineChars="200"/>
        <w:rPr>
          <w:rFonts w:eastAsia="仿宋_GB2312"/>
          <w:kern w:val="28"/>
          <w:sz w:val="32"/>
          <w:szCs w:val="32"/>
        </w:rPr>
      </w:pPr>
      <w:r>
        <w:rPr>
          <w:rFonts w:hint="eastAsia" w:eastAsia="仿宋_GB2312"/>
          <w:kern w:val="28"/>
          <w:sz w:val="32"/>
          <w:szCs w:val="32"/>
        </w:rPr>
        <w:t>此项权重分3分，得分3分。</w:t>
      </w:r>
    </w:p>
    <w:p w14:paraId="775B2CDB">
      <w:pPr>
        <w:pStyle w:val="2"/>
        <w:spacing w:before="0" w:after="0" w:line="560" w:lineRule="exact"/>
        <w:ind w:firstLine="640" w:firstLineChars="200"/>
        <w:jc w:val="both"/>
        <w:rPr>
          <w:rFonts w:ascii="楷体" w:hAnsi="楷体" w:eastAsia="楷体" w:cs="楷体"/>
          <w:b w:val="0"/>
          <w:bCs w:val="0"/>
        </w:rPr>
      </w:pPr>
      <w:r>
        <w:rPr>
          <w:rFonts w:ascii="楷体" w:hAnsi="楷体" w:eastAsia="楷体" w:cs="楷体"/>
          <w:b w:val="0"/>
          <w:bCs w:val="0"/>
        </w:rPr>
        <w:t>（2）绩效指标明确性</w:t>
      </w:r>
    </w:p>
    <w:p w14:paraId="2DBF609F">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14:paraId="36C1C6A2">
      <w:pPr>
        <w:spacing w:line="560" w:lineRule="exact"/>
        <w:ind w:firstLine="640" w:firstLineChars="200"/>
        <w:rPr>
          <w:rFonts w:eastAsia="仿宋_GB2312"/>
          <w:kern w:val="28"/>
          <w:sz w:val="32"/>
          <w:szCs w:val="32"/>
        </w:rPr>
      </w:pPr>
      <w:r>
        <w:rPr>
          <w:rFonts w:hint="eastAsia" w:eastAsia="仿宋_GB2312"/>
          <w:kern w:val="28"/>
          <w:sz w:val="32"/>
          <w:szCs w:val="32"/>
        </w:rPr>
        <w:t>此项权重分3分，得分3分。</w:t>
      </w:r>
    </w:p>
    <w:p w14:paraId="78F12F39">
      <w:pPr>
        <w:pStyle w:val="21"/>
        <w:spacing w:line="560" w:lineRule="exact"/>
        <w:ind w:firstLine="640"/>
        <w:rPr>
          <w:rFonts w:eastAsia="仿宋_GB2312"/>
          <w:b/>
          <w:bCs/>
          <w:sz w:val="32"/>
          <w:szCs w:val="32"/>
        </w:rPr>
      </w:pPr>
      <w:r>
        <w:rPr>
          <w:rFonts w:eastAsia="仿宋_GB2312"/>
          <w:b/>
          <w:bCs/>
          <w:sz w:val="32"/>
          <w:szCs w:val="32"/>
        </w:rPr>
        <w:t>3.资金投入</w:t>
      </w:r>
    </w:p>
    <w:p w14:paraId="192F925A">
      <w:pPr>
        <w:pStyle w:val="2"/>
        <w:spacing w:before="0" w:after="0" w:line="560" w:lineRule="exact"/>
        <w:ind w:firstLine="640" w:firstLineChars="200"/>
        <w:jc w:val="both"/>
        <w:rPr>
          <w:rFonts w:ascii="楷体" w:hAnsi="楷体" w:eastAsia="楷体" w:cs="楷体"/>
          <w:b w:val="0"/>
          <w:bCs w:val="0"/>
        </w:rPr>
      </w:pPr>
      <w:r>
        <w:rPr>
          <w:rFonts w:ascii="楷体" w:hAnsi="楷体" w:eastAsia="楷体" w:cs="楷体"/>
          <w:b w:val="0"/>
          <w:bCs w:val="0"/>
        </w:rPr>
        <w:t>（1）预算编制科学性</w:t>
      </w:r>
    </w:p>
    <w:p w14:paraId="4C8C80F8">
      <w:pPr>
        <w:spacing w:line="560" w:lineRule="exact"/>
        <w:ind w:firstLine="640" w:firstLineChars="200"/>
        <w:rPr>
          <w:rFonts w:eastAsia="仿宋_GB2312"/>
          <w:kern w:val="28"/>
          <w:sz w:val="32"/>
          <w:szCs w:val="32"/>
        </w:rPr>
      </w:pPr>
      <w:r>
        <w:rPr>
          <w:rFonts w:eastAsia="仿宋_GB2312"/>
          <w:kern w:val="28"/>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6B99FAF5">
      <w:pPr>
        <w:spacing w:line="560" w:lineRule="exact"/>
        <w:ind w:firstLine="640" w:firstLineChars="200"/>
        <w:rPr>
          <w:rFonts w:eastAsia="仿宋_GB2312"/>
          <w:kern w:val="28"/>
          <w:sz w:val="32"/>
          <w:szCs w:val="32"/>
        </w:rPr>
      </w:pPr>
      <w:r>
        <w:rPr>
          <w:rFonts w:eastAsia="仿宋_GB2312"/>
          <w:kern w:val="28"/>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667854C1">
      <w:pPr>
        <w:spacing w:line="560" w:lineRule="exact"/>
        <w:ind w:firstLine="640" w:firstLineChars="200"/>
        <w:rPr>
          <w:rFonts w:eastAsia="仿宋_GB2312"/>
          <w:kern w:val="28"/>
          <w:sz w:val="32"/>
          <w:szCs w:val="32"/>
        </w:rPr>
      </w:pPr>
      <w:r>
        <w:rPr>
          <w:rFonts w:hint="eastAsia" w:eastAsia="仿宋_GB2312"/>
          <w:kern w:val="28"/>
          <w:sz w:val="32"/>
          <w:szCs w:val="32"/>
        </w:rPr>
        <w:t>此项权重分值为4分，得分为4分。</w:t>
      </w:r>
    </w:p>
    <w:p w14:paraId="42E476EF">
      <w:pPr>
        <w:pStyle w:val="2"/>
        <w:spacing w:before="0" w:after="0" w:line="560" w:lineRule="exact"/>
        <w:ind w:firstLine="640" w:firstLineChars="200"/>
        <w:jc w:val="both"/>
        <w:rPr>
          <w:rFonts w:ascii="楷体" w:hAnsi="楷体" w:eastAsia="楷体" w:cs="楷体"/>
          <w:b w:val="0"/>
          <w:bCs w:val="0"/>
        </w:rPr>
      </w:pPr>
      <w:r>
        <w:rPr>
          <w:rFonts w:ascii="楷体" w:hAnsi="楷体" w:eastAsia="楷体" w:cs="楷体"/>
          <w:b w:val="0"/>
          <w:bCs w:val="0"/>
        </w:rPr>
        <w:t>（2）资金分配合理性</w:t>
      </w:r>
    </w:p>
    <w:p w14:paraId="07BBE711">
      <w:pPr>
        <w:spacing w:line="560" w:lineRule="exact"/>
        <w:ind w:firstLine="640" w:firstLineChars="200"/>
        <w:rPr>
          <w:rFonts w:eastAsia="仿宋_GB2312"/>
          <w:kern w:val="28"/>
          <w:sz w:val="32"/>
          <w:szCs w:val="32"/>
        </w:rPr>
      </w:pPr>
      <w:r>
        <w:rPr>
          <w:rFonts w:eastAsia="仿宋_GB2312"/>
          <w:kern w:val="28"/>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02DC107C">
      <w:pPr>
        <w:spacing w:line="560" w:lineRule="exact"/>
        <w:ind w:firstLine="640" w:firstLineChars="200"/>
        <w:rPr>
          <w:rFonts w:eastAsia="仿宋_GB2312"/>
          <w:kern w:val="28"/>
          <w:sz w:val="32"/>
          <w:szCs w:val="32"/>
        </w:rPr>
      </w:pPr>
      <w:r>
        <w:rPr>
          <w:rFonts w:eastAsia="仿宋_GB2312"/>
          <w:kern w:val="28"/>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4BD55943">
      <w:pPr>
        <w:spacing w:line="560" w:lineRule="exact"/>
        <w:ind w:firstLine="640" w:firstLineChars="200"/>
        <w:rPr>
          <w:rFonts w:eastAsia="仿宋_GB2312"/>
          <w:kern w:val="28"/>
          <w:sz w:val="32"/>
          <w:szCs w:val="32"/>
        </w:rPr>
      </w:pPr>
      <w:r>
        <w:rPr>
          <w:rFonts w:eastAsia="仿宋_GB2312"/>
          <w:kern w:val="28"/>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AAEF781">
      <w:pPr>
        <w:spacing w:line="560" w:lineRule="exact"/>
        <w:ind w:firstLine="640" w:firstLineChars="200"/>
        <w:rPr>
          <w:rFonts w:eastAsia="仿宋_GB2312"/>
          <w:sz w:val="32"/>
          <w:szCs w:val="32"/>
          <w:highlight w:val="green"/>
        </w:rPr>
      </w:pPr>
      <w:r>
        <w:rPr>
          <w:rFonts w:hint="eastAsia" w:eastAsia="仿宋_GB2312"/>
          <w:sz w:val="32"/>
          <w:szCs w:val="32"/>
        </w:rPr>
        <w:t>此项权重分值为4分，得分为4分。</w:t>
      </w:r>
    </w:p>
    <w:p w14:paraId="6C94F64B">
      <w:pPr>
        <w:pStyle w:val="2"/>
        <w:numPr>
          <w:ilvl w:val="0"/>
          <w:numId w:val="3"/>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14:paraId="7B096477">
      <w:pPr>
        <w:spacing w:line="560" w:lineRule="exact"/>
        <w:ind w:firstLine="640" w:firstLineChars="200"/>
        <w:rPr>
          <w:rFonts w:eastAsia="仿宋_GB2312"/>
          <w:kern w:val="28"/>
          <w:sz w:val="32"/>
          <w:szCs w:val="32"/>
        </w:rPr>
      </w:pPr>
      <w:r>
        <w:rPr>
          <w:rFonts w:eastAsia="仿宋_GB2312"/>
          <w:kern w:val="28"/>
          <w:sz w:val="32"/>
          <w:szCs w:val="32"/>
        </w:rPr>
        <w:t>项目过程类指标包括资金管理和组织实施两方面的内容，由</w:t>
      </w:r>
      <w:r>
        <w:rPr>
          <w:rFonts w:hint="eastAsia" w:eastAsia="仿宋_GB2312"/>
          <w:kern w:val="28"/>
          <w:sz w:val="32"/>
          <w:szCs w:val="32"/>
        </w:rPr>
        <w:t>5</w:t>
      </w:r>
      <w:r>
        <w:rPr>
          <w:rFonts w:eastAsia="仿宋_GB2312"/>
          <w:kern w:val="28"/>
          <w:sz w:val="32"/>
          <w:szCs w:val="32"/>
        </w:rPr>
        <w:t>个三级指标构成，权重分值为</w:t>
      </w:r>
      <w:r>
        <w:rPr>
          <w:rFonts w:hint="eastAsia" w:eastAsia="仿宋_GB2312"/>
          <w:kern w:val="28"/>
          <w:sz w:val="32"/>
          <w:szCs w:val="32"/>
        </w:rPr>
        <w:t>20</w:t>
      </w:r>
      <w:r>
        <w:rPr>
          <w:rFonts w:eastAsia="仿宋_GB2312"/>
          <w:kern w:val="28"/>
          <w:sz w:val="32"/>
          <w:szCs w:val="32"/>
        </w:rPr>
        <w:t>分，实际得分</w:t>
      </w:r>
      <w:r>
        <w:rPr>
          <w:rFonts w:hint="eastAsia" w:eastAsia="仿宋_GB2312"/>
          <w:kern w:val="28"/>
          <w:sz w:val="32"/>
          <w:szCs w:val="32"/>
          <w:lang w:val="en-US" w:eastAsia="zh-CN"/>
        </w:rPr>
        <w:t>19.98</w:t>
      </w:r>
      <w:r>
        <w:rPr>
          <w:rFonts w:eastAsia="仿宋_GB2312"/>
          <w:kern w:val="28"/>
          <w:sz w:val="32"/>
          <w:szCs w:val="32"/>
        </w:rPr>
        <w:t>分，得分率为</w:t>
      </w:r>
      <w:r>
        <w:rPr>
          <w:rFonts w:hint="eastAsia" w:eastAsia="仿宋_GB2312"/>
          <w:kern w:val="28"/>
          <w:sz w:val="32"/>
          <w:szCs w:val="32"/>
          <w:lang w:val="en-US" w:eastAsia="zh-CN"/>
        </w:rPr>
        <w:t>99.9</w:t>
      </w:r>
      <w:r>
        <w:rPr>
          <w:rFonts w:eastAsia="仿宋_GB2312"/>
          <w:kern w:val="28"/>
          <w:sz w:val="32"/>
          <w:szCs w:val="32"/>
        </w:rPr>
        <w:t>%。</w:t>
      </w:r>
    </w:p>
    <w:p w14:paraId="5EF28D42">
      <w:pPr>
        <w:pStyle w:val="21"/>
        <w:spacing w:line="560" w:lineRule="exact"/>
        <w:ind w:firstLine="640"/>
        <w:rPr>
          <w:rFonts w:eastAsia="仿宋_GB2312"/>
          <w:b/>
          <w:bCs/>
          <w:sz w:val="32"/>
          <w:szCs w:val="32"/>
        </w:rPr>
      </w:pPr>
      <w:r>
        <w:rPr>
          <w:rFonts w:eastAsia="仿宋_GB2312"/>
          <w:b/>
          <w:bCs/>
          <w:sz w:val="32"/>
          <w:szCs w:val="32"/>
        </w:rPr>
        <w:t>1.资金管理</w:t>
      </w:r>
    </w:p>
    <w:p w14:paraId="45B44C87">
      <w:pPr>
        <w:pStyle w:val="2"/>
        <w:spacing w:before="0" w:after="0" w:line="560" w:lineRule="exact"/>
        <w:ind w:firstLine="640" w:firstLineChars="200"/>
        <w:jc w:val="both"/>
        <w:rPr>
          <w:rFonts w:ascii="楷体" w:hAnsi="楷体" w:eastAsia="楷体" w:cs="楷体"/>
          <w:b w:val="0"/>
          <w:bCs w:val="0"/>
        </w:rPr>
      </w:pPr>
      <w:r>
        <w:rPr>
          <w:rFonts w:ascii="楷体" w:hAnsi="楷体" w:eastAsia="楷体" w:cs="楷体"/>
          <w:b w:val="0"/>
          <w:bCs w:val="0"/>
        </w:rPr>
        <w:t>（1）资金到位率</w:t>
      </w:r>
    </w:p>
    <w:p w14:paraId="57DE3E6D">
      <w:pPr>
        <w:spacing w:line="560" w:lineRule="exact"/>
        <w:ind w:firstLine="640" w:firstLineChars="200"/>
        <w:rPr>
          <w:rFonts w:eastAsia="仿宋_GB2312"/>
          <w:kern w:val="28"/>
          <w:sz w:val="32"/>
          <w:szCs w:val="32"/>
        </w:rPr>
      </w:pPr>
      <w:r>
        <w:rPr>
          <w:rFonts w:eastAsia="仿宋_GB2312"/>
          <w:kern w:val="28"/>
          <w:sz w:val="32"/>
          <w:szCs w:val="32"/>
        </w:rPr>
        <w:t>本项目总投资</w:t>
      </w:r>
      <w:r>
        <w:rPr>
          <w:rFonts w:hint="eastAsia" w:eastAsia="仿宋_GB2312"/>
          <w:kern w:val="28"/>
          <w:sz w:val="32"/>
          <w:szCs w:val="32"/>
        </w:rPr>
        <w:t>5</w:t>
      </w:r>
      <w:r>
        <w:rPr>
          <w:rFonts w:eastAsia="仿宋_GB2312"/>
          <w:kern w:val="28"/>
          <w:sz w:val="32"/>
          <w:szCs w:val="32"/>
        </w:rPr>
        <w:t>万元，财政资金及时足额到位，到位率</w:t>
      </w:r>
      <w:r>
        <w:rPr>
          <w:rFonts w:hint="eastAsia" w:eastAsia="仿宋_GB2312"/>
          <w:kern w:val="28"/>
          <w:sz w:val="32"/>
          <w:szCs w:val="32"/>
        </w:rPr>
        <w:t>100</w:t>
      </w:r>
      <w:r>
        <w:rPr>
          <w:rFonts w:eastAsia="仿宋_GB2312"/>
          <w:kern w:val="28"/>
          <w:sz w:val="32"/>
          <w:szCs w:val="32"/>
        </w:rPr>
        <w:t>%，预算资金按计划进度执行。</w:t>
      </w:r>
    </w:p>
    <w:p w14:paraId="0BF4E132">
      <w:pPr>
        <w:spacing w:line="560" w:lineRule="exact"/>
        <w:ind w:firstLine="640" w:firstLineChars="200"/>
        <w:rPr>
          <w:rFonts w:eastAsia="仿宋_GB2312"/>
          <w:kern w:val="28"/>
          <w:sz w:val="32"/>
          <w:szCs w:val="32"/>
        </w:rPr>
      </w:pPr>
      <w:r>
        <w:rPr>
          <w:rFonts w:hint="eastAsia" w:eastAsia="仿宋_GB2312"/>
          <w:kern w:val="28"/>
          <w:sz w:val="32"/>
          <w:szCs w:val="32"/>
        </w:rPr>
        <w:t>此项权重分值为4分，得分为4分。</w:t>
      </w:r>
    </w:p>
    <w:p w14:paraId="420B21EF">
      <w:pPr>
        <w:pStyle w:val="2"/>
        <w:spacing w:before="0" w:after="0" w:line="560" w:lineRule="exact"/>
        <w:ind w:firstLine="640" w:firstLineChars="200"/>
        <w:jc w:val="both"/>
        <w:rPr>
          <w:rFonts w:ascii="楷体" w:hAnsi="楷体" w:eastAsia="楷体" w:cs="楷体"/>
          <w:b w:val="0"/>
          <w:bCs w:val="0"/>
        </w:rPr>
      </w:pPr>
      <w:r>
        <w:rPr>
          <w:rFonts w:ascii="楷体" w:hAnsi="楷体" w:eastAsia="楷体" w:cs="楷体"/>
          <w:b w:val="0"/>
          <w:bCs w:val="0"/>
        </w:rPr>
        <w:t>（2）预算执行率</w:t>
      </w:r>
    </w:p>
    <w:p w14:paraId="6444C69E">
      <w:pPr>
        <w:spacing w:line="560" w:lineRule="exact"/>
        <w:ind w:firstLine="640" w:firstLineChars="200"/>
        <w:rPr>
          <w:rFonts w:eastAsia="仿宋_GB2312"/>
          <w:kern w:val="28"/>
          <w:sz w:val="32"/>
          <w:szCs w:val="32"/>
        </w:rPr>
      </w:pPr>
      <w:r>
        <w:rPr>
          <w:rFonts w:eastAsia="仿宋_GB2312"/>
          <w:kern w:val="28"/>
          <w:sz w:val="32"/>
          <w:szCs w:val="32"/>
        </w:rPr>
        <w:t>预算编制较为详细，项目资金支出总体能够按照预算执行，预算资金支出</w:t>
      </w:r>
      <w:r>
        <w:rPr>
          <w:rFonts w:hint="eastAsia" w:eastAsia="仿宋_GB2312"/>
          <w:kern w:val="28"/>
          <w:sz w:val="32"/>
          <w:szCs w:val="32"/>
        </w:rPr>
        <w:t>5</w:t>
      </w:r>
      <w:r>
        <w:rPr>
          <w:rFonts w:eastAsia="仿宋_GB2312"/>
          <w:kern w:val="28"/>
          <w:sz w:val="32"/>
          <w:szCs w:val="32"/>
        </w:rPr>
        <w:t>万元，预算执行率为</w:t>
      </w:r>
      <w:r>
        <w:rPr>
          <w:rFonts w:hint="eastAsia" w:eastAsia="仿宋_GB2312"/>
          <w:kern w:val="28"/>
          <w:sz w:val="32"/>
          <w:szCs w:val="32"/>
        </w:rPr>
        <w:t>99.4</w:t>
      </w:r>
      <w:r>
        <w:rPr>
          <w:rFonts w:eastAsia="仿宋_GB2312"/>
          <w:kern w:val="28"/>
          <w:sz w:val="32"/>
          <w:szCs w:val="32"/>
        </w:rPr>
        <w:t>%。</w:t>
      </w:r>
    </w:p>
    <w:p w14:paraId="51DD4D14">
      <w:pPr>
        <w:spacing w:line="560" w:lineRule="exact"/>
        <w:ind w:firstLine="640" w:firstLineChars="200"/>
        <w:rPr>
          <w:rFonts w:eastAsia="仿宋_GB2312"/>
          <w:kern w:val="28"/>
          <w:sz w:val="32"/>
          <w:szCs w:val="32"/>
          <w:highlight w:val="yellow"/>
        </w:rPr>
      </w:pPr>
      <w:r>
        <w:rPr>
          <w:rFonts w:hint="eastAsia" w:eastAsia="仿宋_GB2312"/>
          <w:kern w:val="28"/>
          <w:sz w:val="32"/>
          <w:szCs w:val="32"/>
        </w:rPr>
        <w:t>此项权重分值为4分，得分为</w:t>
      </w:r>
      <w:r>
        <w:rPr>
          <w:rFonts w:hint="eastAsia" w:eastAsia="仿宋_GB2312"/>
          <w:kern w:val="28"/>
          <w:sz w:val="32"/>
          <w:szCs w:val="32"/>
          <w:lang w:val="en-US" w:eastAsia="zh-CN"/>
        </w:rPr>
        <w:t>3.98</w:t>
      </w:r>
      <w:r>
        <w:rPr>
          <w:rFonts w:hint="eastAsia" w:eastAsia="仿宋_GB2312"/>
          <w:kern w:val="28"/>
          <w:sz w:val="32"/>
          <w:szCs w:val="32"/>
        </w:rPr>
        <w:t>分。</w:t>
      </w:r>
    </w:p>
    <w:p w14:paraId="67944268">
      <w:pPr>
        <w:pStyle w:val="2"/>
        <w:spacing w:before="0" w:after="0" w:line="560" w:lineRule="exact"/>
        <w:ind w:firstLine="640" w:firstLineChars="200"/>
        <w:jc w:val="both"/>
        <w:rPr>
          <w:rFonts w:ascii="楷体" w:hAnsi="楷体" w:eastAsia="楷体" w:cs="楷体"/>
          <w:b w:val="0"/>
          <w:bCs w:val="0"/>
        </w:rPr>
      </w:pPr>
      <w:r>
        <w:rPr>
          <w:rFonts w:ascii="楷体" w:hAnsi="楷体" w:eastAsia="楷体" w:cs="楷体"/>
          <w:b w:val="0"/>
          <w:bCs w:val="0"/>
        </w:rPr>
        <w:t>（3）资金使用合规性</w:t>
      </w:r>
    </w:p>
    <w:p w14:paraId="58B9AE74">
      <w:pPr>
        <w:spacing w:line="560" w:lineRule="exact"/>
        <w:ind w:firstLine="640" w:firstLineChars="200"/>
        <w:rPr>
          <w:rFonts w:eastAsia="仿宋_GB2312"/>
          <w:kern w:val="28"/>
          <w:sz w:val="32"/>
          <w:szCs w:val="32"/>
        </w:rPr>
      </w:pPr>
      <w:r>
        <w:rPr>
          <w:rFonts w:eastAsia="仿宋_GB2312"/>
          <w:kern w:val="28"/>
          <w:sz w:val="32"/>
          <w:szCs w:val="32"/>
        </w:rPr>
        <w:t>本项目的资金使用严格遵循了国家相关法律法规与财务制度，确保了资金的合规性与安全性。在资金使用过程中，我们建立了完善的财务管理体系，对资金的流动进行了全程监控与记录。</w:t>
      </w:r>
    </w:p>
    <w:p w14:paraId="32441CBC">
      <w:pPr>
        <w:spacing w:line="560" w:lineRule="exact"/>
        <w:ind w:firstLine="640" w:firstLineChars="200"/>
        <w:rPr>
          <w:rFonts w:eastAsia="仿宋_GB2312"/>
          <w:kern w:val="28"/>
          <w:sz w:val="32"/>
          <w:szCs w:val="32"/>
        </w:rPr>
      </w:pPr>
      <w:r>
        <w:rPr>
          <w:rFonts w:eastAsia="仿宋_GB2312"/>
          <w:kern w:val="28"/>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228A8CED">
      <w:pPr>
        <w:spacing w:line="560" w:lineRule="exact"/>
        <w:ind w:firstLine="640" w:firstLineChars="200"/>
        <w:rPr>
          <w:rFonts w:eastAsia="仿宋_GB2312"/>
          <w:kern w:val="28"/>
          <w:sz w:val="32"/>
          <w:szCs w:val="32"/>
        </w:rPr>
      </w:pPr>
      <w:r>
        <w:rPr>
          <w:rFonts w:eastAsia="仿宋_GB2312"/>
          <w:kern w:val="28"/>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7A67C1F">
      <w:pPr>
        <w:spacing w:line="560" w:lineRule="exact"/>
        <w:ind w:firstLine="640" w:firstLineChars="200"/>
        <w:rPr>
          <w:rFonts w:eastAsia="仿宋_GB2312"/>
          <w:kern w:val="28"/>
          <w:sz w:val="32"/>
          <w:szCs w:val="32"/>
        </w:rPr>
      </w:pPr>
      <w:r>
        <w:rPr>
          <w:rFonts w:hint="eastAsia" w:eastAsia="仿宋_GB2312"/>
          <w:kern w:val="28"/>
          <w:sz w:val="32"/>
          <w:szCs w:val="32"/>
        </w:rPr>
        <w:t>此项权重分值为4分，得分为4分。</w:t>
      </w:r>
    </w:p>
    <w:p w14:paraId="732D078C">
      <w:pPr>
        <w:pStyle w:val="21"/>
        <w:spacing w:line="560" w:lineRule="exact"/>
        <w:ind w:firstLine="640"/>
        <w:rPr>
          <w:rFonts w:eastAsia="仿宋_GB2312"/>
          <w:b/>
          <w:bCs/>
          <w:sz w:val="32"/>
          <w:szCs w:val="32"/>
        </w:rPr>
      </w:pPr>
      <w:r>
        <w:rPr>
          <w:rFonts w:eastAsia="仿宋_GB2312"/>
          <w:b/>
          <w:bCs/>
          <w:sz w:val="32"/>
          <w:szCs w:val="32"/>
        </w:rPr>
        <w:t>2.组织实施</w:t>
      </w:r>
    </w:p>
    <w:p w14:paraId="0278F225">
      <w:pPr>
        <w:pStyle w:val="2"/>
        <w:spacing w:before="0" w:after="0" w:line="560" w:lineRule="exact"/>
        <w:ind w:firstLine="640" w:firstLineChars="200"/>
        <w:jc w:val="both"/>
        <w:rPr>
          <w:rFonts w:ascii="楷体" w:hAnsi="楷体" w:eastAsia="楷体" w:cs="楷体"/>
          <w:b w:val="0"/>
          <w:bCs w:val="0"/>
        </w:rPr>
      </w:pPr>
      <w:r>
        <w:rPr>
          <w:rFonts w:ascii="楷体" w:hAnsi="楷体" w:eastAsia="楷体" w:cs="楷体"/>
          <w:b w:val="0"/>
          <w:bCs w:val="0"/>
        </w:rPr>
        <w:t>（1）管理制度健全性</w:t>
      </w:r>
    </w:p>
    <w:p w14:paraId="6260B90F">
      <w:pPr>
        <w:spacing w:line="560" w:lineRule="exact"/>
        <w:ind w:firstLine="640" w:firstLineChars="200"/>
        <w:rPr>
          <w:rFonts w:eastAsia="仿宋_GB2312"/>
          <w:kern w:val="28"/>
          <w:sz w:val="32"/>
          <w:szCs w:val="32"/>
        </w:rPr>
      </w:pPr>
      <w:r>
        <w:rPr>
          <w:rFonts w:eastAsia="仿宋_GB2312"/>
          <w:kern w:val="28"/>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p>
    <w:p w14:paraId="2D7F6953">
      <w:pPr>
        <w:spacing w:line="560" w:lineRule="exact"/>
        <w:ind w:firstLine="640" w:firstLineChars="200"/>
        <w:rPr>
          <w:rFonts w:eastAsia="仿宋_GB2312"/>
          <w:kern w:val="28"/>
          <w:sz w:val="32"/>
          <w:szCs w:val="32"/>
        </w:rPr>
      </w:pPr>
      <w:r>
        <w:rPr>
          <w:rFonts w:eastAsia="仿宋_GB2312"/>
          <w:kern w:val="28"/>
          <w:sz w:val="32"/>
          <w:szCs w:val="32"/>
        </w:rPr>
        <w:t>在制度设计上，我们注重了制度的科学性与可操作性，确保制度能够切实指导项目的执行与管理。</w:t>
      </w:r>
    </w:p>
    <w:p w14:paraId="73483253">
      <w:pPr>
        <w:spacing w:line="560" w:lineRule="exact"/>
        <w:ind w:firstLine="640" w:firstLineChars="200"/>
        <w:rPr>
          <w:rFonts w:eastAsia="仿宋_GB2312"/>
          <w:kern w:val="28"/>
          <w:sz w:val="32"/>
          <w:szCs w:val="32"/>
        </w:rPr>
      </w:pPr>
      <w:r>
        <w:rPr>
          <w:rFonts w:eastAsia="仿宋_GB2312"/>
          <w:kern w:val="28"/>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9C43421">
      <w:pPr>
        <w:spacing w:line="560" w:lineRule="exact"/>
        <w:ind w:firstLine="640" w:firstLineChars="200"/>
        <w:rPr>
          <w:rFonts w:eastAsia="仿宋_GB2312"/>
          <w:kern w:val="28"/>
          <w:sz w:val="32"/>
          <w:szCs w:val="32"/>
        </w:rPr>
      </w:pPr>
      <w:r>
        <w:rPr>
          <w:rFonts w:eastAsia="仿宋_GB2312"/>
          <w:kern w:val="28"/>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14:paraId="599EE269">
      <w:pPr>
        <w:spacing w:line="600" w:lineRule="exact"/>
        <w:ind w:firstLine="640" w:firstLineChars="200"/>
        <w:outlineLvl w:val="0"/>
        <w:rPr>
          <w:rFonts w:eastAsia="仿宋_GB2312"/>
          <w:sz w:val="32"/>
          <w:szCs w:val="32"/>
          <w:highlight w:val="green"/>
        </w:rPr>
      </w:pPr>
      <w:r>
        <w:rPr>
          <w:rFonts w:hint="eastAsia" w:eastAsia="仿宋_GB2312"/>
          <w:sz w:val="32"/>
          <w:szCs w:val="32"/>
        </w:rPr>
        <w:t>此项权重分值为2分，得分为2分。</w:t>
      </w:r>
    </w:p>
    <w:p w14:paraId="35F197F4">
      <w:pPr>
        <w:pStyle w:val="2"/>
        <w:spacing w:before="0" w:after="0" w:line="560" w:lineRule="exact"/>
        <w:ind w:firstLine="640" w:firstLineChars="200"/>
        <w:jc w:val="both"/>
        <w:rPr>
          <w:rFonts w:ascii="楷体" w:hAnsi="楷体" w:eastAsia="楷体" w:cs="楷体"/>
          <w:b w:val="0"/>
          <w:bCs w:val="0"/>
        </w:rPr>
      </w:pPr>
      <w:r>
        <w:rPr>
          <w:rFonts w:ascii="楷体" w:hAnsi="楷体" w:eastAsia="楷体" w:cs="楷体"/>
          <w:b w:val="0"/>
          <w:bCs w:val="0"/>
        </w:rPr>
        <w:t>（2）制度执行有效性</w:t>
      </w:r>
    </w:p>
    <w:p w14:paraId="353986EA">
      <w:pPr>
        <w:spacing w:line="560" w:lineRule="exact"/>
        <w:ind w:firstLine="640" w:firstLineChars="200"/>
        <w:rPr>
          <w:rFonts w:eastAsia="仿宋_GB2312"/>
          <w:kern w:val="28"/>
          <w:sz w:val="32"/>
          <w:szCs w:val="32"/>
        </w:rPr>
      </w:pPr>
      <w:r>
        <w:rPr>
          <w:rFonts w:eastAsia="仿宋_GB2312"/>
          <w:kern w:val="28"/>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725B4E07">
      <w:pPr>
        <w:spacing w:line="560" w:lineRule="exact"/>
        <w:ind w:firstLine="640" w:firstLineChars="200"/>
        <w:rPr>
          <w:rFonts w:eastAsia="仿宋_GB2312"/>
          <w:kern w:val="28"/>
          <w:sz w:val="32"/>
          <w:szCs w:val="32"/>
        </w:rPr>
      </w:pPr>
      <w:r>
        <w:rPr>
          <w:rFonts w:eastAsia="仿宋_GB2312"/>
          <w:kern w:val="28"/>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14:paraId="758C72DC">
      <w:pPr>
        <w:spacing w:line="560" w:lineRule="exact"/>
        <w:ind w:firstLine="640" w:firstLineChars="200"/>
        <w:rPr>
          <w:rFonts w:eastAsia="仿宋_GB2312"/>
          <w:kern w:val="28"/>
          <w:sz w:val="32"/>
          <w:szCs w:val="32"/>
        </w:rPr>
      </w:pPr>
      <w:r>
        <w:rPr>
          <w:rFonts w:eastAsia="仿宋_GB2312"/>
          <w:kern w:val="28"/>
          <w:sz w:val="32"/>
          <w:szCs w:val="32"/>
        </w:rPr>
        <w:t>综上所述，本项目的管理制度在执行过程中表现出了高度的有效性，既确保了项目的顺利进行，又实现了项目目标的有效达成。</w:t>
      </w:r>
    </w:p>
    <w:p w14:paraId="633873F4">
      <w:pPr>
        <w:spacing w:line="560" w:lineRule="exact"/>
        <w:ind w:firstLine="640" w:firstLineChars="200"/>
        <w:rPr>
          <w:rFonts w:eastAsia="仿宋_GB2312"/>
          <w:sz w:val="32"/>
          <w:szCs w:val="32"/>
        </w:rPr>
      </w:pPr>
      <w:r>
        <w:rPr>
          <w:rFonts w:hint="eastAsia" w:eastAsia="仿宋_GB2312"/>
          <w:sz w:val="32"/>
          <w:szCs w:val="32"/>
        </w:rPr>
        <w:t>此项权重分值为4分，得分为4分。</w:t>
      </w:r>
    </w:p>
    <w:p w14:paraId="4A0DAF8C">
      <w:pPr>
        <w:pStyle w:val="11"/>
        <w:numPr>
          <w:ilvl w:val="0"/>
          <w:numId w:val="3"/>
        </w:numPr>
        <w:spacing w:line="560" w:lineRule="exact"/>
        <w:ind w:firstLine="643"/>
        <w:rPr>
          <w:rFonts w:eastAsia="楷体_GB2312"/>
          <w:b/>
          <w:bCs/>
          <w:sz w:val="32"/>
          <w:szCs w:val="32"/>
        </w:rPr>
      </w:pPr>
      <w:r>
        <w:rPr>
          <w:rFonts w:eastAsia="楷体_GB2312"/>
          <w:b/>
          <w:bCs/>
          <w:sz w:val="32"/>
          <w:szCs w:val="32"/>
        </w:rPr>
        <w:t>项目产出情况</w:t>
      </w:r>
    </w:p>
    <w:p w14:paraId="0EE91987">
      <w:pPr>
        <w:spacing w:line="560" w:lineRule="exact"/>
        <w:ind w:firstLine="640" w:firstLineChars="200"/>
        <w:rPr>
          <w:rFonts w:eastAsia="仿宋_GB2312"/>
          <w:kern w:val="28"/>
          <w:sz w:val="32"/>
          <w:szCs w:val="32"/>
        </w:rPr>
      </w:pPr>
      <w:r>
        <w:rPr>
          <w:rFonts w:eastAsia="仿宋_GB2312"/>
          <w:kern w:val="28"/>
          <w:sz w:val="32"/>
          <w:szCs w:val="32"/>
        </w:rPr>
        <w:t>项目产出类指标包括产出数量、产出质量、产出时效、产出成本四方面的内容，由</w:t>
      </w:r>
      <w:r>
        <w:rPr>
          <w:rFonts w:hint="eastAsia" w:eastAsia="仿宋_GB2312"/>
          <w:kern w:val="28"/>
          <w:sz w:val="32"/>
          <w:szCs w:val="32"/>
        </w:rPr>
        <w:t>4</w:t>
      </w:r>
      <w:r>
        <w:rPr>
          <w:rFonts w:eastAsia="仿宋_GB2312"/>
          <w:kern w:val="28"/>
          <w:sz w:val="32"/>
          <w:szCs w:val="32"/>
        </w:rPr>
        <w:t>个三级指标构成，权重分为</w:t>
      </w:r>
      <w:r>
        <w:rPr>
          <w:rFonts w:hint="eastAsia" w:eastAsia="仿宋_GB2312"/>
          <w:kern w:val="28"/>
          <w:sz w:val="32"/>
          <w:szCs w:val="32"/>
        </w:rPr>
        <w:t>40</w:t>
      </w:r>
      <w:r>
        <w:rPr>
          <w:rFonts w:eastAsia="仿宋_GB2312"/>
          <w:kern w:val="28"/>
          <w:sz w:val="32"/>
          <w:szCs w:val="32"/>
        </w:rPr>
        <w:t>分，实际得分</w:t>
      </w:r>
      <w:r>
        <w:rPr>
          <w:rFonts w:hint="eastAsia" w:eastAsia="仿宋_GB2312"/>
          <w:kern w:val="28"/>
          <w:sz w:val="32"/>
          <w:szCs w:val="32"/>
        </w:rPr>
        <w:t>40</w:t>
      </w:r>
      <w:r>
        <w:rPr>
          <w:rFonts w:eastAsia="仿宋_GB2312"/>
          <w:kern w:val="28"/>
          <w:sz w:val="32"/>
          <w:szCs w:val="32"/>
        </w:rPr>
        <w:t>分，得分率为</w:t>
      </w:r>
      <w:r>
        <w:rPr>
          <w:rFonts w:hint="eastAsia" w:eastAsia="仿宋_GB2312"/>
          <w:kern w:val="28"/>
          <w:sz w:val="32"/>
          <w:szCs w:val="32"/>
        </w:rPr>
        <w:t>100</w:t>
      </w:r>
      <w:r>
        <w:rPr>
          <w:rFonts w:eastAsia="仿宋_GB2312"/>
          <w:kern w:val="28"/>
          <w:sz w:val="32"/>
          <w:szCs w:val="32"/>
        </w:rPr>
        <w:t>%。具体产出指标完成情况如下：</w:t>
      </w:r>
    </w:p>
    <w:p w14:paraId="6DA59B64">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14:paraId="642D5694">
      <w:pPr>
        <w:spacing w:line="600" w:lineRule="exact"/>
        <w:ind w:firstLine="640" w:firstLineChars="200"/>
        <w:outlineLvl w:val="0"/>
        <w:rPr>
          <w:rFonts w:eastAsia="仿宋_GB2312"/>
          <w:sz w:val="32"/>
          <w:szCs w:val="32"/>
        </w:rPr>
      </w:pPr>
      <w:bookmarkStart w:id="8" w:name="OLE_LINK11"/>
      <w:r>
        <w:rPr>
          <w:rFonts w:eastAsia="仿宋_GB2312"/>
          <w:sz w:val="32"/>
          <w:szCs w:val="32"/>
        </w:rPr>
        <w:t>指标1：</w:t>
      </w:r>
      <w:r>
        <w:rPr>
          <w:rFonts w:hint="eastAsia" w:eastAsia="仿宋_GB2312"/>
          <w:sz w:val="32"/>
          <w:szCs w:val="32"/>
        </w:rPr>
        <w:t>保障政协委员人数</w:t>
      </w:r>
      <w:r>
        <w:rPr>
          <w:rFonts w:eastAsia="仿宋_GB2312"/>
          <w:sz w:val="32"/>
          <w:szCs w:val="32"/>
        </w:rPr>
        <w:t>，指标值</w:t>
      </w:r>
      <w:r>
        <w:rPr>
          <w:rFonts w:hint="eastAsia" w:eastAsia="仿宋_GB2312"/>
          <w:sz w:val="32"/>
          <w:szCs w:val="32"/>
        </w:rPr>
        <w:t>：</w:t>
      </w:r>
      <w:r>
        <w:rPr>
          <w:rFonts w:hint="eastAsia" w:eastAsia="仿宋_GB2312"/>
          <w:color w:val="000000"/>
          <w:spacing w:val="17"/>
          <w:sz w:val="32"/>
          <w:szCs w:val="32"/>
        </w:rPr>
        <w:t>≥105人</w:t>
      </w:r>
      <w:r>
        <w:rPr>
          <w:rFonts w:eastAsia="仿宋_GB2312"/>
          <w:sz w:val="32"/>
          <w:szCs w:val="32"/>
        </w:rPr>
        <w:t>，实际完成值</w:t>
      </w:r>
      <w:r>
        <w:rPr>
          <w:rFonts w:hint="eastAsia" w:eastAsia="仿宋_GB2312"/>
          <w:sz w:val="32"/>
          <w:szCs w:val="32"/>
        </w:rPr>
        <w:t>：105人</w:t>
      </w:r>
      <w:r>
        <w:rPr>
          <w:rFonts w:eastAsia="仿宋_GB2312"/>
          <w:sz w:val="32"/>
          <w:szCs w:val="32"/>
        </w:rPr>
        <w:t>，指标完成率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bookmarkEnd w:id="8"/>
    </w:p>
    <w:p w14:paraId="38CC40A9">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基层政协数量</w:t>
      </w:r>
      <w:r>
        <w:rPr>
          <w:rFonts w:eastAsia="仿宋_GB2312"/>
          <w:sz w:val="32"/>
          <w:szCs w:val="32"/>
        </w:rPr>
        <w:t>，指标值</w:t>
      </w:r>
      <w:r>
        <w:rPr>
          <w:rFonts w:hint="eastAsia" w:eastAsia="仿宋_GB2312"/>
          <w:sz w:val="32"/>
          <w:szCs w:val="32"/>
        </w:rPr>
        <w:t>：</w:t>
      </w:r>
      <w:bookmarkStart w:id="9" w:name="OLE_LINK13"/>
      <w:bookmarkStart w:id="10" w:name="OLE_LINK14"/>
      <w:r>
        <w:rPr>
          <w:rFonts w:hint="eastAsia" w:eastAsia="仿宋_GB2312"/>
          <w:color w:val="000000"/>
          <w:spacing w:val="17"/>
          <w:sz w:val="32"/>
          <w:szCs w:val="32"/>
        </w:rPr>
        <w:t>＝1个</w:t>
      </w:r>
      <w:bookmarkEnd w:id="9"/>
      <w:bookmarkEnd w:id="10"/>
      <w:r>
        <w:rPr>
          <w:rFonts w:eastAsia="仿宋_GB2312"/>
          <w:sz w:val="32"/>
          <w:szCs w:val="32"/>
        </w:rPr>
        <w:t>，实际完成值</w:t>
      </w:r>
      <w:r>
        <w:rPr>
          <w:rFonts w:hint="eastAsia" w:eastAsia="仿宋_GB2312"/>
          <w:sz w:val="32"/>
          <w:szCs w:val="32"/>
        </w:rPr>
        <w:t>：1个</w:t>
      </w:r>
      <w:r>
        <w:rPr>
          <w:rFonts w:eastAsia="仿宋_GB2312"/>
          <w:sz w:val="32"/>
          <w:szCs w:val="32"/>
        </w:rPr>
        <w:t>，指标完成率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p>
    <w:p w14:paraId="40552062">
      <w:pPr>
        <w:spacing w:line="600" w:lineRule="exact"/>
        <w:ind w:firstLine="640" w:firstLineChars="200"/>
        <w:outlineLvl w:val="0"/>
        <w:rPr>
          <w:rFonts w:eastAsia="仿宋_GB2312"/>
          <w:sz w:val="32"/>
          <w:szCs w:val="32"/>
        </w:rPr>
      </w:pPr>
      <w:bookmarkStart w:id="11" w:name="OLE_LINK59"/>
      <w:r>
        <w:rPr>
          <w:rFonts w:hint="eastAsia" w:eastAsia="仿宋_GB2312"/>
          <w:sz w:val="32"/>
          <w:szCs w:val="32"/>
        </w:rPr>
        <w:t>此项权重分值为</w:t>
      </w:r>
      <w:r>
        <w:rPr>
          <w:rFonts w:hint="eastAsia" w:eastAsia="仿宋_GB2312"/>
          <w:sz w:val="32"/>
          <w:szCs w:val="32"/>
          <w:lang w:val="en-US" w:eastAsia="zh-CN"/>
        </w:rPr>
        <w:t>10</w:t>
      </w:r>
      <w:r>
        <w:rPr>
          <w:rFonts w:hint="eastAsia" w:eastAsia="仿宋_GB2312"/>
          <w:sz w:val="32"/>
          <w:szCs w:val="32"/>
        </w:rPr>
        <w:t>分，得分为</w:t>
      </w:r>
      <w:r>
        <w:rPr>
          <w:rFonts w:hint="eastAsia" w:eastAsia="仿宋_GB2312"/>
          <w:sz w:val="32"/>
          <w:szCs w:val="32"/>
          <w:lang w:val="en-US" w:eastAsia="zh-CN"/>
        </w:rPr>
        <w:t>10</w:t>
      </w:r>
      <w:r>
        <w:rPr>
          <w:rFonts w:hint="eastAsia" w:eastAsia="仿宋_GB2312"/>
          <w:sz w:val="32"/>
          <w:szCs w:val="32"/>
        </w:rPr>
        <w:t>分。</w:t>
      </w:r>
      <w:bookmarkEnd w:id="11"/>
    </w:p>
    <w:p w14:paraId="07D2DC01">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14:paraId="4F2C0004">
      <w:pPr>
        <w:spacing w:line="600" w:lineRule="exact"/>
        <w:ind w:firstLine="640" w:firstLineChars="200"/>
        <w:outlineLvl w:val="0"/>
        <w:rPr>
          <w:rFonts w:eastAsia="仿宋_GB2312"/>
          <w:sz w:val="32"/>
          <w:szCs w:val="32"/>
        </w:rPr>
      </w:pPr>
      <w:bookmarkStart w:id="12" w:name="OLE_LINK15"/>
      <w:bookmarkStart w:id="13" w:name="OLE_LINK17"/>
      <w:r>
        <w:rPr>
          <w:rFonts w:eastAsia="仿宋_GB2312"/>
          <w:sz w:val="32"/>
          <w:szCs w:val="32"/>
        </w:rPr>
        <w:t>指标1：</w:t>
      </w:r>
      <w:r>
        <w:rPr>
          <w:rFonts w:hint="eastAsia" w:eastAsia="仿宋_GB2312"/>
          <w:sz w:val="32"/>
          <w:szCs w:val="32"/>
        </w:rPr>
        <w:t>拨付资金使用合格率</w:t>
      </w:r>
      <w:r>
        <w:rPr>
          <w:rFonts w:eastAsia="仿宋_GB2312"/>
          <w:sz w:val="32"/>
          <w:szCs w:val="32"/>
        </w:rPr>
        <w:t>，指标值</w:t>
      </w:r>
      <w:r>
        <w:rPr>
          <w:rFonts w:hint="eastAsia" w:eastAsia="仿宋_GB2312"/>
          <w:sz w:val="32"/>
          <w:szCs w:val="32"/>
        </w:rPr>
        <w:t>：</w:t>
      </w:r>
      <w:r>
        <w:rPr>
          <w:rFonts w:hint="eastAsia" w:eastAsia="仿宋_GB2312"/>
          <w:color w:val="000000"/>
          <w:spacing w:val="17"/>
          <w:sz w:val="32"/>
          <w:szCs w:val="32"/>
        </w:rPr>
        <w:t>＝100</w:t>
      </w:r>
      <w:r>
        <w:rPr>
          <w:rFonts w:hint="eastAsia" w:eastAsia="仿宋_GB2312"/>
          <w:sz w:val="32"/>
          <w:szCs w:val="32"/>
        </w:rPr>
        <w:t>%</w:t>
      </w:r>
      <w:r>
        <w:rPr>
          <w:rFonts w:eastAsia="仿宋_GB2312"/>
          <w:sz w:val="32"/>
          <w:szCs w:val="32"/>
        </w:rPr>
        <w:t>，实际完成值</w:t>
      </w:r>
      <w:r>
        <w:rPr>
          <w:rFonts w:hint="eastAsia" w:eastAsia="仿宋_GB2312"/>
          <w:sz w:val="32"/>
          <w:szCs w:val="32"/>
        </w:rPr>
        <w:t>：100%</w:t>
      </w:r>
      <w:r>
        <w:rPr>
          <w:rFonts w:eastAsia="仿宋_GB2312"/>
          <w:sz w:val="32"/>
          <w:szCs w:val="32"/>
        </w:rPr>
        <w:t>，指标完成率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bookmarkEnd w:id="12"/>
    </w:p>
    <w:p w14:paraId="6303C5DA">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补充基层政协经费覆盖率</w:t>
      </w:r>
      <w:r>
        <w:rPr>
          <w:rFonts w:eastAsia="仿宋_GB2312"/>
          <w:sz w:val="32"/>
          <w:szCs w:val="32"/>
        </w:rPr>
        <w:t>，指标值</w:t>
      </w:r>
      <w:r>
        <w:rPr>
          <w:rFonts w:hint="eastAsia" w:eastAsia="仿宋_GB2312"/>
          <w:sz w:val="32"/>
          <w:szCs w:val="32"/>
        </w:rPr>
        <w:t>：</w:t>
      </w:r>
      <w:r>
        <w:rPr>
          <w:rFonts w:hint="eastAsia" w:eastAsia="仿宋_GB2312"/>
          <w:color w:val="000000"/>
          <w:spacing w:val="17"/>
          <w:sz w:val="32"/>
          <w:szCs w:val="32"/>
        </w:rPr>
        <w:t>=100</w:t>
      </w:r>
      <w:r>
        <w:rPr>
          <w:rFonts w:hint="eastAsia" w:eastAsia="仿宋_GB2312"/>
          <w:sz w:val="32"/>
          <w:szCs w:val="32"/>
        </w:rPr>
        <w:t>%</w:t>
      </w:r>
      <w:r>
        <w:rPr>
          <w:rFonts w:eastAsia="仿宋_GB2312"/>
          <w:sz w:val="32"/>
          <w:szCs w:val="32"/>
        </w:rPr>
        <w:t>，实际完成值</w:t>
      </w:r>
      <w:r>
        <w:rPr>
          <w:rFonts w:hint="eastAsia" w:eastAsia="仿宋_GB2312"/>
          <w:sz w:val="32"/>
          <w:szCs w:val="32"/>
        </w:rPr>
        <w:t>：100</w:t>
      </w:r>
      <w:r>
        <w:rPr>
          <w:rFonts w:eastAsia="仿宋_GB2312"/>
          <w:sz w:val="32"/>
          <w:szCs w:val="32"/>
        </w:rPr>
        <w:t>%，指标完成率</w:t>
      </w:r>
      <w:bookmarkStart w:id="14" w:name="OLE_LINK16"/>
      <w:r>
        <w:rPr>
          <w:rFonts w:hint="eastAsia" w:eastAsia="仿宋_GB2312"/>
          <w:sz w:val="32"/>
          <w:szCs w:val="32"/>
        </w:rPr>
        <w:t>100</w:t>
      </w:r>
      <w:r>
        <w:rPr>
          <w:rFonts w:eastAsia="仿宋_GB2312"/>
          <w:sz w:val="32"/>
          <w:szCs w:val="32"/>
        </w:rPr>
        <w:t>%</w:t>
      </w:r>
      <w:bookmarkEnd w:id="14"/>
      <w:r>
        <w:rPr>
          <w:rFonts w:hint="eastAsia" w:eastAsia="仿宋_GB2312"/>
          <w:sz w:val="32"/>
          <w:szCs w:val="32"/>
        </w:rPr>
        <w:t>；</w:t>
      </w:r>
    </w:p>
    <w:p w14:paraId="3C461D91">
      <w:pPr>
        <w:spacing w:line="600" w:lineRule="exact"/>
        <w:ind w:firstLine="640" w:firstLineChars="200"/>
        <w:outlineLvl w:val="0"/>
        <w:rPr>
          <w:rFonts w:eastAsia="仿宋_GB2312"/>
          <w:sz w:val="32"/>
          <w:szCs w:val="32"/>
        </w:rPr>
      </w:pPr>
      <w:bookmarkStart w:id="15" w:name="OLE_LINK60"/>
      <w:r>
        <w:rPr>
          <w:rFonts w:hint="eastAsia" w:eastAsia="仿宋_GB2312"/>
          <w:sz w:val="32"/>
          <w:szCs w:val="32"/>
        </w:rPr>
        <w:t>此项权重分值为1</w:t>
      </w:r>
      <w:r>
        <w:rPr>
          <w:rFonts w:hint="eastAsia" w:eastAsia="仿宋_GB2312"/>
          <w:sz w:val="32"/>
          <w:szCs w:val="32"/>
          <w:lang w:val="en-US" w:eastAsia="zh-CN"/>
        </w:rPr>
        <w:t>0</w:t>
      </w:r>
      <w:r>
        <w:rPr>
          <w:rFonts w:hint="eastAsia" w:eastAsia="仿宋_GB2312"/>
          <w:sz w:val="32"/>
          <w:szCs w:val="32"/>
        </w:rPr>
        <w:t>分，得分为</w:t>
      </w:r>
      <w:r>
        <w:rPr>
          <w:rFonts w:hint="eastAsia" w:eastAsia="仿宋_GB2312"/>
          <w:sz w:val="32"/>
          <w:szCs w:val="32"/>
          <w:lang w:val="en-US" w:eastAsia="zh-CN"/>
        </w:rPr>
        <w:t>10</w:t>
      </w:r>
      <w:r>
        <w:rPr>
          <w:rFonts w:hint="eastAsia" w:eastAsia="仿宋_GB2312"/>
          <w:sz w:val="32"/>
          <w:szCs w:val="32"/>
        </w:rPr>
        <w:t>分。</w:t>
      </w:r>
      <w:bookmarkEnd w:id="13"/>
      <w:bookmarkEnd w:id="15"/>
    </w:p>
    <w:p w14:paraId="06CCFFA4">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w:t>
      </w:r>
    </w:p>
    <w:p w14:paraId="4306C616">
      <w:pPr>
        <w:spacing w:line="600" w:lineRule="exact"/>
        <w:ind w:firstLine="640" w:firstLineChars="200"/>
        <w:outlineLvl w:val="0"/>
        <w:rPr>
          <w:rFonts w:eastAsia="仿宋_GB2312"/>
          <w:sz w:val="32"/>
          <w:szCs w:val="32"/>
        </w:rPr>
      </w:pPr>
      <w:bookmarkStart w:id="16" w:name="OLE_LINK20"/>
      <w:r>
        <w:rPr>
          <w:rFonts w:eastAsia="仿宋_GB2312"/>
          <w:sz w:val="32"/>
          <w:szCs w:val="32"/>
        </w:rPr>
        <w:t>指标1：</w:t>
      </w:r>
      <w:r>
        <w:rPr>
          <w:rFonts w:hint="eastAsia" w:eastAsia="仿宋_GB2312"/>
          <w:sz w:val="32"/>
          <w:szCs w:val="32"/>
        </w:rPr>
        <w:t>影响时间</w:t>
      </w:r>
      <w:r>
        <w:rPr>
          <w:rFonts w:eastAsia="仿宋_GB2312"/>
          <w:sz w:val="32"/>
          <w:szCs w:val="32"/>
        </w:rPr>
        <w:t>，指标值</w:t>
      </w:r>
      <w:r>
        <w:rPr>
          <w:rFonts w:hint="eastAsia" w:eastAsia="仿宋_GB2312"/>
          <w:sz w:val="32"/>
          <w:szCs w:val="32"/>
        </w:rPr>
        <w:t>：</w:t>
      </w:r>
      <w:r>
        <w:rPr>
          <w:rFonts w:hint="eastAsia" w:eastAsia="仿宋_GB2312"/>
          <w:sz w:val="32"/>
          <w:szCs w:val="32"/>
          <w:lang w:val="en-US" w:eastAsia="zh-CN"/>
        </w:rPr>
        <w:t>=</w:t>
      </w:r>
      <w:r>
        <w:rPr>
          <w:rFonts w:hint="eastAsia" w:eastAsia="仿宋_GB2312"/>
          <w:color w:val="000000"/>
          <w:spacing w:val="17"/>
          <w:sz w:val="32"/>
          <w:szCs w:val="32"/>
        </w:rPr>
        <w:t>1年</w:t>
      </w:r>
      <w:r>
        <w:rPr>
          <w:rFonts w:eastAsia="仿宋_GB2312"/>
          <w:sz w:val="32"/>
          <w:szCs w:val="32"/>
        </w:rPr>
        <w:t>，实际完成值</w:t>
      </w:r>
      <w:r>
        <w:rPr>
          <w:rFonts w:hint="eastAsia" w:eastAsia="仿宋_GB2312"/>
          <w:sz w:val="32"/>
          <w:szCs w:val="32"/>
        </w:rPr>
        <w:t>：1年</w:t>
      </w:r>
      <w:r>
        <w:rPr>
          <w:rFonts w:eastAsia="仿宋_GB2312"/>
          <w:sz w:val="32"/>
          <w:szCs w:val="32"/>
        </w:rPr>
        <w:t>，指标完成率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p>
    <w:p w14:paraId="3E4E294A">
      <w:pPr>
        <w:spacing w:line="600" w:lineRule="exact"/>
        <w:ind w:firstLine="640" w:firstLineChars="200"/>
        <w:outlineLvl w:val="0"/>
        <w:rPr>
          <w:rFonts w:eastAsia="仿宋_GB2312"/>
          <w:sz w:val="32"/>
          <w:szCs w:val="32"/>
        </w:rPr>
      </w:pPr>
      <w:bookmarkStart w:id="17" w:name="OLE_LINK18"/>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资金拨付及时率</w:t>
      </w:r>
      <w:r>
        <w:rPr>
          <w:rFonts w:eastAsia="仿宋_GB2312"/>
          <w:sz w:val="32"/>
          <w:szCs w:val="32"/>
        </w:rPr>
        <w:t>，指标值</w:t>
      </w:r>
      <w:r>
        <w:rPr>
          <w:rFonts w:hint="eastAsia" w:eastAsia="仿宋_GB2312"/>
          <w:sz w:val="32"/>
          <w:szCs w:val="32"/>
        </w:rPr>
        <w:t>：</w:t>
      </w:r>
      <w:r>
        <w:rPr>
          <w:rFonts w:hint="eastAsia" w:eastAsia="仿宋_GB2312"/>
          <w:color w:val="000000"/>
          <w:spacing w:val="17"/>
          <w:sz w:val="32"/>
          <w:szCs w:val="32"/>
        </w:rPr>
        <w:t>=100</w:t>
      </w:r>
      <w:r>
        <w:rPr>
          <w:rFonts w:hint="eastAsia" w:eastAsia="仿宋_GB2312"/>
          <w:sz w:val="32"/>
          <w:szCs w:val="32"/>
        </w:rPr>
        <w:t>%</w:t>
      </w:r>
      <w:r>
        <w:rPr>
          <w:rFonts w:eastAsia="仿宋_GB2312"/>
          <w:sz w:val="32"/>
          <w:szCs w:val="32"/>
        </w:rPr>
        <w:t>，实际完成值</w:t>
      </w:r>
      <w:r>
        <w:rPr>
          <w:rFonts w:hint="eastAsia" w:eastAsia="仿宋_GB2312"/>
          <w:sz w:val="32"/>
          <w:szCs w:val="32"/>
        </w:rPr>
        <w:t>：100</w:t>
      </w:r>
      <w:r>
        <w:rPr>
          <w:rFonts w:eastAsia="仿宋_GB2312"/>
          <w:sz w:val="32"/>
          <w:szCs w:val="32"/>
        </w:rPr>
        <w:t>%，指标完成率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bookmarkEnd w:id="16"/>
      <w:bookmarkEnd w:id="17"/>
    </w:p>
    <w:p w14:paraId="6B51E8AD">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3</w:t>
      </w:r>
      <w:r>
        <w:rPr>
          <w:rFonts w:eastAsia="仿宋_GB2312"/>
          <w:sz w:val="32"/>
          <w:szCs w:val="32"/>
        </w:rPr>
        <w:t>：</w:t>
      </w:r>
      <w:r>
        <w:rPr>
          <w:rFonts w:hint="eastAsia" w:eastAsia="仿宋_GB2312"/>
          <w:sz w:val="32"/>
          <w:szCs w:val="32"/>
        </w:rPr>
        <w:t>公用经费支付及时率</w:t>
      </w:r>
      <w:r>
        <w:rPr>
          <w:rFonts w:eastAsia="仿宋_GB2312"/>
          <w:sz w:val="32"/>
          <w:szCs w:val="32"/>
        </w:rPr>
        <w:t>，指标值</w:t>
      </w:r>
      <w:r>
        <w:rPr>
          <w:rFonts w:hint="eastAsia" w:eastAsia="仿宋_GB2312"/>
          <w:sz w:val="32"/>
          <w:szCs w:val="32"/>
        </w:rPr>
        <w:t>：</w:t>
      </w:r>
      <w:r>
        <w:rPr>
          <w:rFonts w:hint="eastAsia" w:eastAsia="仿宋_GB2312"/>
          <w:color w:val="000000"/>
          <w:spacing w:val="17"/>
          <w:sz w:val="32"/>
          <w:szCs w:val="32"/>
        </w:rPr>
        <w:t>=100</w:t>
      </w:r>
      <w:r>
        <w:rPr>
          <w:rFonts w:hint="eastAsia" w:eastAsia="仿宋_GB2312"/>
          <w:sz w:val="32"/>
          <w:szCs w:val="32"/>
        </w:rPr>
        <w:t>%</w:t>
      </w:r>
      <w:r>
        <w:rPr>
          <w:rFonts w:eastAsia="仿宋_GB2312"/>
          <w:sz w:val="32"/>
          <w:szCs w:val="32"/>
        </w:rPr>
        <w:t>，实际完成值</w:t>
      </w:r>
      <w:r>
        <w:rPr>
          <w:rFonts w:hint="eastAsia" w:eastAsia="仿宋_GB2312"/>
          <w:sz w:val="32"/>
          <w:szCs w:val="32"/>
        </w:rPr>
        <w:t>：100</w:t>
      </w:r>
      <w:r>
        <w:rPr>
          <w:rFonts w:eastAsia="仿宋_GB2312"/>
          <w:sz w:val="32"/>
          <w:szCs w:val="32"/>
        </w:rPr>
        <w:t>%，指标完成率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p>
    <w:p w14:paraId="785D6E80">
      <w:pPr>
        <w:spacing w:line="600" w:lineRule="exact"/>
        <w:ind w:firstLine="640" w:firstLineChars="200"/>
        <w:outlineLvl w:val="0"/>
        <w:rPr>
          <w:rFonts w:eastAsia="仿宋_GB2312"/>
          <w:sz w:val="32"/>
          <w:szCs w:val="32"/>
        </w:rPr>
      </w:pPr>
      <w:r>
        <w:rPr>
          <w:rFonts w:hint="eastAsia" w:eastAsia="仿宋_GB2312"/>
          <w:sz w:val="32"/>
          <w:szCs w:val="32"/>
        </w:rPr>
        <w:t>此项权重分值为1</w:t>
      </w:r>
      <w:r>
        <w:rPr>
          <w:rFonts w:hint="eastAsia" w:eastAsia="仿宋_GB2312"/>
          <w:sz w:val="32"/>
          <w:szCs w:val="32"/>
          <w:lang w:val="en-US" w:eastAsia="zh-CN"/>
        </w:rPr>
        <w:t>0</w:t>
      </w:r>
      <w:r>
        <w:rPr>
          <w:rFonts w:hint="eastAsia" w:eastAsia="仿宋_GB2312"/>
          <w:sz w:val="32"/>
          <w:szCs w:val="32"/>
        </w:rPr>
        <w:t>分，得分为1</w:t>
      </w:r>
      <w:r>
        <w:rPr>
          <w:rFonts w:hint="eastAsia" w:eastAsia="仿宋_GB2312"/>
          <w:sz w:val="32"/>
          <w:szCs w:val="32"/>
          <w:lang w:val="en-US" w:eastAsia="zh-CN"/>
        </w:rPr>
        <w:t>0</w:t>
      </w:r>
      <w:r>
        <w:rPr>
          <w:rFonts w:hint="eastAsia" w:eastAsia="仿宋_GB2312"/>
          <w:sz w:val="32"/>
          <w:szCs w:val="32"/>
        </w:rPr>
        <w:t>分。</w:t>
      </w:r>
    </w:p>
    <w:p w14:paraId="65B694AB">
      <w:pPr>
        <w:spacing w:line="60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4 \* GB3 </w:instrText>
      </w:r>
      <w:r>
        <w:rPr>
          <w:rFonts w:eastAsia="仿宋_GB2312"/>
          <w:sz w:val="32"/>
          <w:szCs w:val="32"/>
        </w:rPr>
        <w:fldChar w:fldCharType="separate"/>
      </w:r>
      <w:r>
        <w:rPr>
          <w:rFonts w:eastAsia="仿宋_GB2312"/>
          <w:sz w:val="32"/>
          <w:szCs w:val="32"/>
        </w:rPr>
        <w:t>④</w:t>
      </w:r>
      <w:r>
        <w:rPr>
          <w:rFonts w:eastAsia="仿宋_GB2312"/>
          <w:sz w:val="32"/>
          <w:szCs w:val="32"/>
        </w:rPr>
        <w:fldChar w:fldCharType="end"/>
      </w:r>
      <w:r>
        <w:rPr>
          <w:rFonts w:hint="eastAsia" w:eastAsia="仿宋_GB2312"/>
          <w:sz w:val="32"/>
          <w:szCs w:val="32"/>
        </w:rPr>
        <w:t>经济</w:t>
      </w:r>
      <w:r>
        <w:rPr>
          <w:rFonts w:eastAsia="仿宋_GB2312"/>
          <w:sz w:val="32"/>
          <w:szCs w:val="32"/>
        </w:rPr>
        <w:t>成本指标：</w:t>
      </w:r>
    </w:p>
    <w:p w14:paraId="1A108311">
      <w:pPr>
        <w:spacing w:line="600" w:lineRule="exact"/>
        <w:ind w:firstLine="640" w:firstLineChars="200"/>
        <w:outlineLvl w:val="0"/>
        <w:rPr>
          <w:rFonts w:eastAsia="仿宋_GB2312"/>
          <w:sz w:val="32"/>
          <w:szCs w:val="32"/>
        </w:rPr>
      </w:pPr>
      <w:bookmarkStart w:id="18" w:name="OLE_LINK24"/>
      <w:r>
        <w:rPr>
          <w:rFonts w:eastAsia="仿宋_GB2312"/>
          <w:sz w:val="32"/>
          <w:szCs w:val="32"/>
        </w:rPr>
        <w:t>指标1：</w:t>
      </w:r>
      <w:r>
        <w:rPr>
          <w:rFonts w:hint="eastAsia" w:eastAsia="仿宋_GB2312"/>
          <w:sz w:val="32"/>
          <w:szCs w:val="32"/>
        </w:rPr>
        <w:t>人均运转经费数</w:t>
      </w:r>
      <w:r>
        <w:rPr>
          <w:rFonts w:eastAsia="仿宋_GB2312"/>
          <w:sz w:val="32"/>
          <w:szCs w:val="32"/>
        </w:rPr>
        <w:t>，指标值</w:t>
      </w:r>
      <w:r>
        <w:rPr>
          <w:rFonts w:hint="eastAsia" w:eastAsia="仿宋_GB2312"/>
          <w:sz w:val="32"/>
          <w:szCs w:val="32"/>
        </w:rPr>
        <w:t>：</w:t>
      </w:r>
      <w:bookmarkStart w:id="19" w:name="OLE_LINK23"/>
      <w:r>
        <w:rPr>
          <w:rFonts w:eastAsia="仿宋_GB2312"/>
          <w:color w:val="000000"/>
          <w:spacing w:val="17"/>
          <w:sz w:val="32"/>
          <w:szCs w:val="32"/>
        </w:rPr>
        <w:t>≤</w:t>
      </w:r>
      <w:bookmarkStart w:id="20" w:name="OLE_LINK22"/>
      <w:r>
        <w:rPr>
          <w:rFonts w:hint="eastAsia" w:eastAsia="仿宋_GB2312"/>
          <w:color w:val="000000"/>
          <w:spacing w:val="17"/>
          <w:sz w:val="32"/>
          <w:szCs w:val="32"/>
        </w:rPr>
        <w:t>476元</w:t>
      </w:r>
      <w:bookmarkEnd w:id="20"/>
      <w:r>
        <w:rPr>
          <w:rFonts w:eastAsia="仿宋_GB2312"/>
          <w:sz w:val="32"/>
          <w:szCs w:val="32"/>
        </w:rPr>
        <w:t>，实际完成值</w:t>
      </w:r>
      <w:r>
        <w:rPr>
          <w:rFonts w:hint="eastAsia" w:eastAsia="仿宋_GB2312"/>
          <w:sz w:val="32"/>
          <w:szCs w:val="32"/>
        </w:rPr>
        <w:t>：</w:t>
      </w:r>
      <w:r>
        <w:rPr>
          <w:rFonts w:hint="eastAsia" w:eastAsia="仿宋_GB2312"/>
          <w:color w:val="000000"/>
          <w:spacing w:val="17"/>
          <w:sz w:val="32"/>
          <w:szCs w:val="32"/>
        </w:rPr>
        <w:t>473.33元</w:t>
      </w:r>
      <w:r>
        <w:rPr>
          <w:rFonts w:eastAsia="仿宋_GB2312"/>
          <w:sz w:val="32"/>
          <w:szCs w:val="32"/>
        </w:rPr>
        <w:t>，指标完成率</w:t>
      </w:r>
      <w:r>
        <w:rPr>
          <w:rFonts w:hint="eastAsia" w:eastAsia="仿宋_GB2312"/>
          <w:sz w:val="32"/>
          <w:szCs w:val="32"/>
        </w:rPr>
        <w:t>99.44</w:t>
      </w:r>
      <w:r>
        <w:rPr>
          <w:rFonts w:eastAsia="仿宋_GB2312"/>
          <w:sz w:val="32"/>
          <w:szCs w:val="32"/>
        </w:rPr>
        <w:t>%</w:t>
      </w:r>
      <w:r>
        <w:rPr>
          <w:rFonts w:hint="eastAsia" w:eastAsia="仿宋_GB2312"/>
          <w:sz w:val="32"/>
          <w:szCs w:val="32"/>
        </w:rPr>
        <w:t>；</w:t>
      </w:r>
      <w:bookmarkEnd w:id="18"/>
      <w:bookmarkEnd w:id="19"/>
      <w:r>
        <w:rPr>
          <w:rFonts w:hint="eastAsia" w:eastAsia="仿宋_GB2312"/>
          <w:sz w:val="32"/>
          <w:szCs w:val="32"/>
        </w:rPr>
        <w:t>偏差原因：厉行节约。</w:t>
      </w:r>
      <w:bookmarkStart w:id="21" w:name="OLE_LINK58"/>
      <w:r>
        <w:rPr>
          <w:rFonts w:hint="eastAsia" w:eastAsia="仿宋_GB2312"/>
          <w:sz w:val="32"/>
          <w:szCs w:val="32"/>
        </w:rPr>
        <w:t>此项权重分值为</w:t>
      </w:r>
      <w:r>
        <w:rPr>
          <w:rFonts w:hint="eastAsia" w:eastAsia="仿宋_GB2312"/>
          <w:sz w:val="32"/>
          <w:szCs w:val="32"/>
          <w:lang w:val="en-US" w:eastAsia="zh-CN"/>
        </w:rPr>
        <w:t>10</w:t>
      </w:r>
      <w:r>
        <w:rPr>
          <w:rFonts w:hint="eastAsia" w:eastAsia="仿宋_GB2312"/>
          <w:sz w:val="32"/>
          <w:szCs w:val="32"/>
        </w:rPr>
        <w:t>分，得分为</w:t>
      </w:r>
      <w:r>
        <w:rPr>
          <w:rFonts w:hint="eastAsia" w:eastAsia="仿宋_GB2312"/>
          <w:sz w:val="32"/>
          <w:szCs w:val="32"/>
          <w:lang w:val="en-US" w:eastAsia="zh-CN"/>
        </w:rPr>
        <w:t>9.94</w:t>
      </w:r>
      <w:r>
        <w:rPr>
          <w:rFonts w:hint="eastAsia" w:eastAsia="仿宋_GB2312"/>
          <w:sz w:val="32"/>
          <w:szCs w:val="32"/>
        </w:rPr>
        <w:t>分。</w:t>
      </w:r>
      <w:bookmarkEnd w:id="21"/>
    </w:p>
    <w:p w14:paraId="0AF38D2F">
      <w:pPr>
        <w:pStyle w:val="11"/>
        <w:numPr>
          <w:ilvl w:val="0"/>
          <w:numId w:val="3"/>
        </w:numPr>
        <w:spacing w:line="560" w:lineRule="exact"/>
        <w:ind w:firstLine="643"/>
        <w:rPr>
          <w:rFonts w:eastAsia="楷体_GB2312"/>
          <w:b/>
          <w:bCs/>
          <w:sz w:val="32"/>
          <w:szCs w:val="32"/>
        </w:rPr>
      </w:pPr>
      <w:r>
        <w:rPr>
          <w:rFonts w:eastAsia="楷体_GB2312"/>
          <w:b/>
          <w:bCs/>
          <w:sz w:val="32"/>
          <w:szCs w:val="32"/>
        </w:rPr>
        <w:t>项目效益情况</w:t>
      </w:r>
    </w:p>
    <w:p w14:paraId="7EA2FB9E">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w:t>
      </w:r>
      <w:r>
        <w:rPr>
          <w:rFonts w:hint="eastAsia" w:eastAsia="仿宋_GB2312"/>
          <w:sz w:val="32"/>
          <w:szCs w:val="32"/>
        </w:rPr>
        <w:t>2</w:t>
      </w:r>
      <w:r>
        <w:rPr>
          <w:rFonts w:eastAsia="仿宋_GB2312"/>
          <w:sz w:val="32"/>
          <w:szCs w:val="32"/>
        </w:rPr>
        <w:t>个三级指标构成，权重分为</w:t>
      </w:r>
      <w:r>
        <w:rPr>
          <w:rFonts w:hint="eastAsia" w:eastAsia="仿宋_GB2312"/>
          <w:sz w:val="32"/>
          <w:szCs w:val="32"/>
        </w:rPr>
        <w:t>20</w:t>
      </w:r>
      <w:r>
        <w:rPr>
          <w:rFonts w:eastAsia="仿宋_GB2312"/>
          <w:sz w:val="32"/>
          <w:szCs w:val="32"/>
        </w:rPr>
        <w:t>分，实际得分</w:t>
      </w:r>
      <w:r>
        <w:rPr>
          <w:rFonts w:hint="eastAsia" w:eastAsia="仿宋_GB2312"/>
          <w:sz w:val="32"/>
          <w:szCs w:val="32"/>
        </w:rPr>
        <w:t>100</w:t>
      </w:r>
      <w:r>
        <w:rPr>
          <w:rFonts w:eastAsia="仿宋_GB2312"/>
          <w:sz w:val="32"/>
          <w:szCs w:val="32"/>
        </w:rPr>
        <w:t>分，得分率为</w:t>
      </w:r>
      <w:r>
        <w:rPr>
          <w:rFonts w:hint="eastAsia" w:eastAsia="仿宋_GB2312"/>
          <w:sz w:val="32"/>
          <w:szCs w:val="32"/>
        </w:rPr>
        <w:t>100</w:t>
      </w:r>
      <w:r>
        <w:rPr>
          <w:rFonts w:eastAsia="仿宋_GB2312"/>
          <w:sz w:val="32"/>
          <w:szCs w:val="32"/>
        </w:rPr>
        <w:t>%。具体效益指标及满意度指标完成情况如下：</w:t>
      </w:r>
    </w:p>
    <w:p w14:paraId="77254F93">
      <w:pPr>
        <w:spacing w:line="600" w:lineRule="exact"/>
        <w:ind w:firstLine="640" w:firstLineChars="200"/>
        <w:outlineLvl w:val="0"/>
        <w:rPr>
          <w:rFonts w:eastAsia="仿宋_GB2312"/>
          <w:color w:val="FF0000"/>
          <w:sz w:val="32"/>
          <w:szCs w:val="32"/>
        </w:rPr>
      </w:pPr>
      <w:r>
        <w:rPr>
          <w:rFonts w:eastAsia="仿宋_GB2312"/>
          <w:sz w:val="32"/>
          <w:szCs w:val="32"/>
        </w:rPr>
        <w:t>1.实施效益</w:t>
      </w:r>
    </w:p>
    <w:p w14:paraId="7A630E67">
      <w:pPr>
        <w:spacing w:line="600" w:lineRule="exact"/>
        <w:ind w:firstLine="640" w:firstLineChars="200"/>
        <w:outlineLvl w:val="0"/>
        <w:rPr>
          <w:rFonts w:eastAsia="仿宋_GB2312"/>
          <w:sz w:val="32"/>
          <w:szCs w:val="32"/>
        </w:rPr>
      </w:pPr>
      <w:r>
        <w:rPr>
          <w:rFonts w:eastAsia="仿宋_GB2312"/>
          <w:sz w:val="32"/>
          <w:szCs w:val="32"/>
        </w:rPr>
        <w:t>①社会效益指标：</w:t>
      </w:r>
    </w:p>
    <w:p w14:paraId="2EC03CD9">
      <w:pPr>
        <w:spacing w:line="600" w:lineRule="exact"/>
        <w:ind w:firstLine="640" w:firstLineChars="200"/>
        <w:outlineLvl w:val="0"/>
        <w:rPr>
          <w:rFonts w:eastAsia="仿宋_GB2312"/>
          <w:sz w:val="32"/>
          <w:szCs w:val="32"/>
        </w:rPr>
      </w:pPr>
      <w:bookmarkStart w:id="22" w:name="OLE_LINK26"/>
      <w:r>
        <w:rPr>
          <w:rFonts w:eastAsia="仿宋_GB2312"/>
          <w:sz w:val="32"/>
          <w:szCs w:val="32"/>
        </w:rPr>
        <w:t>指标1：</w:t>
      </w:r>
      <w:r>
        <w:rPr>
          <w:rFonts w:hint="eastAsia" w:eastAsia="仿宋_GB2312"/>
          <w:sz w:val="32"/>
          <w:szCs w:val="32"/>
        </w:rPr>
        <w:t>保障基层政协日常工作稳定开展</w:t>
      </w:r>
      <w:r>
        <w:rPr>
          <w:rFonts w:eastAsia="仿宋_GB2312"/>
          <w:sz w:val="32"/>
          <w:szCs w:val="32"/>
        </w:rPr>
        <w:t>，指标值</w:t>
      </w:r>
      <w:r>
        <w:rPr>
          <w:rFonts w:hint="eastAsia" w:eastAsia="仿宋_GB2312"/>
          <w:sz w:val="32"/>
          <w:szCs w:val="32"/>
        </w:rPr>
        <w:t>：</w:t>
      </w:r>
      <w:r>
        <w:rPr>
          <w:rFonts w:hint="eastAsia" w:eastAsia="仿宋_GB2312"/>
          <w:color w:val="000000"/>
          <w:spacing w:val="17"/>
          <w:sz w:val="32"/>
          <w:szCs w:val="32"/>
        </w:rPr>
        <w:t>有效保障</w:t>
      </w:r>
      <w:r>
        <w:rPr>
          <w:rFonts w:eastAsia="仿宋_GB2312"/>
          <w:sz w:val="32"/>
          <w:szCs w:val="32"/>
        </w:rPr>
        <w:t>，实际完成值</w:t>
      </w:r>
      <w:r>
        <w:rPr>
          <w:rFonts w:hint="eastAsia" w:eastAsia="仿宋_GB2312"/>
          <w:sz w:val="32"/>
          <w:szCs w:val="32"/>
        </w:rPr>
        <w:t>：</w:t>
      </w:r>
      <w:r>
        <w:rPr>
          <w:rFonts w:hint="eastAsia" w:eastAsia="仿宋_GB2312"/>
          <w:color w:val="000000"/>
          <w:spacing w:val="17"/>
          <w:sz w:val="32"/>
          <w:szCs w:val="32"/>
        </w:rPr>
        <w:t>达成目标</w:t>
      </w:r>
      <w:r>
        <w:rPr>
          <w:rFonts w:eastAsia="仿宋_GB2312"/>
          <w:sz w:val="32"/>
          <w:szCs w:val="32"/>
        </w:rPr>
        <w:t>，指标完成率</w:t>
      </w:r>
      <w:r>
        <w:rPr>
          <w:rFonts w:hint="eastAsia" w:eastAsia="仿宋_GB2312"/>
          <w:sz w:val="32"/>
          <w:szCs w:val="32"/>
        </w:rPr>
        <w:t>100</w:t>
      </w:r>
      <w:r>
        <w:rPr>
          <w:rFonts w:eastAsia="仿宋_GB2312"/>
          <w:sz w:val="32"/>
          <w:szCs w:val="32"/>
        </w:rPr>
        <w:t>%</w:t>
      </w:r>
      <w:r>
        <w:rPr>
          <w:rFonts w:hint="eastAsia" w:eastAsia="仿宋_GB2312"/>
          <w:sz w:val="32"/>
          <w:szCs w:val="32"/>
        </w:rPr>
        <w:t>；</w:t>
      </w:r>
      <w:bookmarkEnd w:id="22"/>
    </w:p>
    <w:p w14:paraId="76C50CF2">
      <w:pPr>
        <w:spacing w:line="600" w:lineRule="exact"/>
        <w:ind w:firstLine="640" w:firstLineChars="200"/>
        <w:outlineLvl w:val="0"/>
        <w:rPr>
          <w:rFonts w:hint="eastAsia" w:eastAsia="仿宋_GB2312"/>
          <w:sz w:val="32"/>
          <w:szCs w:val="32"/>
          <w:lang w:eastAsia="zh-CN"/>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政协委员履职能力提升率</w:t>
      </w:r>
      <w:r>
        <w:rPr>
          <w:rFonts w:eastAsia="仿宋_GB2312"/>
          <w:sz w:val="32"/>
          <w:szCs w:val="32"/>
        </w:rPr>
        <w:t>，指标值</w:t>
      </w:r>
      <w:r>
        <w:rPr>
          <w:rFonts w:hint="eastAsia" w:eastAsia="仿宋_GB2312"/>
          <w:sz w:val="32"/>
          <w:szCs w:val="32"/>
        </w:rPr>
        <w:t>：</w:t>
      </w:r>
      <w:r>
        <w:rPr>
          <w:rFonts w:hint="eastAsia" w:eastAsia="仿宋_GB2312"/>
          <w:color w:val="000000"/>
          <w:spacing w:val="17"/>
          <w:sz w:val="32"/>
          <w:szCs w:val="32"/>
        </w:rPr>
        <w:t>≥95%</w:t>
      </w:r>
      <w:r>
        <w:rPr>
          <w:rFonts w:eastAsia="仿宋_GB2312"/>
          <w:sz w:val="32"/>
          <w:szCs w:val="32"/>
        </w:rPr>
        <w:t>，实际完成值</w:t>
      </w:r>
      <w:r>
        <w:rPr>
          <w:rFonts w:hint="eastAsia" w:eastAsia="仿宋_GB2312"/>
          <w:sz w:val="32"/>
          <w:szCs w:val="32"/>
        </w:rPr>
        <w:t>：</w:t>
      </w:r>
      <w:r>
        <w:rPr>
          <w:rFonts w:hint="eastAsia" w:eastAsia="仿宋_GB2312"/>
          <w:color w:val="000000"/>
          <w:spacing w:val="17"/>
          <w:sz w:val="32"/>
          <w:szCs w:val="32"/>
        </w:rPr>
        <w:t>100%</w:t>
      </w:r>
      <w:r>
        <w:rPr>
          <w:rFonts w:eastAsia="仿宋_GB2312"/>
          <w:sz w:val="32"/>
          <w:szCs w:val="32"/>
        </w:rPr>
        <w:t>，指标完成率</w:t>
      </w:r>
      <w:r>
        <w:rPr>
          <w:rFonts w:hint="eastAsia" w:eastAsia="仿宋_GB2312"/>
          <w:sz w:val="32"/>
          <w:szCs w:val="32"/>
        </w:rPr>
        <w:t>105.26</w:t>
      </w:r>
      <w:r>
        <w:rPr>
          <w:rFonts w:eastAsia="仿宋_GB2312"/>
          <w:sz w:val="32"/>
          <w:szCs w:val="32"/>
        </w:rPr>
        <w:t>%</w:t>
      </w:r>
      <w:r>
        <w:rPr>
          <w:rFonts w:hint="eastAsia" w:eastAsia="仿宋_GB2312"/>
          <w:sz w:val="32"/>
          <w:szCs w:val="32"/>
        </w:rPr>
        <w:t>；偏差原因：政协委员对政协工作达到满意，工作按时交办</w:t>
      </w:r>
      <w:r>
        <w:rPr>
          <w:rFonts w:hint="eastAsia" w:eastAsia="仿宋_GB2312"/>
          <w:sz w:val="32"/>
          <w:szCs w:val="32"/>
          <w:lang w:eastAsia="zh-CN"/>
        </w:rPr>
        <w:t>。</w:t>
      </w:r>
    </w:p>
    <w:p w14:paraId="07A3685F">
      <w:pPr>
        <w:spacing w:line="600" w:lineRule="exact"/>
        <w:ind w:firstLine="640" w:firstLineChars="200"/>
        <w:outlineLvl w:val="0"/>
        <w:rPr>
          <w:rFonts w:eastAsia="仿宋_GB2312"/>
          <w:sz w:val="32"/>
          <w:szCs w:val="32"/>
        </w:rPr>
      </w:pPr>
      <w:r>
        <w:rPr>
          <w:rFonts w:hint="eastAsia" w:eastAsia="仿宋_GB2312"/>
          <w:sz w:val="32"/>
          <w:szCs w:val="32"/>
        </w:rPr>
        <w:t>此项权重分值为</w:t>
      </w:r>
      <w:r>
        <w:rPr>
          <w:rFonts w:hint="eastAsia" w:eastAsia="仿宋_GB2312"/>
          <w:sz w:val="32"/>
          <w:szCs w:val="32"/>
          <w:lang w:val="en-US" w:eastAsia="zh-CN"/>
        </w:rPr>
        <w:t>10</w:t>
      </w:r>
      <w:r>
        <w:rPr>
          <w:rFonts w:hint="eastAsia" w:eastAsia="仿宋_GB2312"/>
          <w:sz w:val="32"/>
          <w:szCs w:val="32"/>
        </w:rPr>
        <w:t>分，得分为</w:t>
      </w:r>
      <w:r>
        <w:rPr>
          <w:rFonts w:hint="eastAsia" w:eastAsia="仿宋_GB2312"/>
          <w:sz w:val="32"/>
          <w:szCs w:val="32"/>
          <w:lang w:val="en-US" w:eastAsia="zh-CN"/>
        </w:rPr>
        <w:t>10</w:t>
      </w:r>
      <w:r>
        <w:rPr>
          <w:rFonts w:hint="eastAsia" w:eastAsia="仿宋_GB2312"/>
          <w:sz w:val="32"/>
          <w:szCs w:val="32"/>
        </w:rPr>
        <w:t>分。</w:t>
      </w:r>
    </w:p>
    <w:p w14:paraId="58D2CFB9">
      <w:pPr>
        <w:spacing w:line="600" w:lineRule="exact"/>
        <w:ind w:firstLine="640" w:firstLineChars="200"/>
        <w:outlineLvl w:val="0"/>
        <w:rPr>
          <w:rFonts w:eastAsia="仿宋_GB2312"/>
          <w:sz w:val="32"/>
          <w:szCs w:val="32"/>
        </w:rPr>
      </w:pPr>
      <w:r>
        <w:rPr>
          <w:rFonts w:eastAsia="仿宋_GB2312"/>
          <w:sz w:val="32"/>
          <w:szCs w:val="32"/>
        </w:rPr>
        <w:t>2.满意度</w:t>
      </w:r>
    </w:p>
    <w:p w14:paraId="781F886B">
      <w:pPr>
        <w:spacing w:line="600" w:lineRule="exact"/>
        <w:ind w:firstLine="640" w:firstLineChars="200"/>
        <w:outlineLvl w:val="0"/>
        <w:rPr>
          <w:rFonts w:hint="eastAsia" w:eastAsia="仿宋_GB2312"/>
          <w:sz w:val="32"/>
          <w:szCs w:val="32"/>
          <w:lang w:eastAsia="zh-CN"/>
        </w:rPr>
      </w:pPr>
      <w:r>
        <w:rPr>
          <w:rFonts w:eastAsia="仿宋_GB2312"/>
          <w:sz w:val="32"/>
          <w:szCs w:val="32"/>
        </w:rPr>
        <w:t>指标1：</w:t>
      </w:r>
      <w:r>
        <w:rPr>
          <w:rFonts w:hint="eastAsia" w:eastAsia="仿宋_GB2312"/>
          <w:sz w:val="32"/>
          <w:szCs w:val="32"/>
        </w:rPr>
        <w:t>基层政协委员满意度</w:t>
      </w:r>
      <w:r>
        <w:rPr>
          <w:rFonts w:eastAsia="仿宋_GB2312"/>
          <w:sz w:val="32"/>
          <w:szCs w:val="32"/>
        </w:rPr>
        <w:t>，指标值</w:t>
      </w:r>
      <w:r>
        <w:rPr>
          <w:rFonts w:hint="eastAsia" w:eastAsia="仿宋_GB2312"/>
          <w:sz w:val="32"/>
          <w:szCs w:val="32"/>
        </w:rPr>
        <w:t>：</w:t>
      </w:r>
      <w:r>
        <w:rPr>
          <w:rFonts w:eastAsia="仿宋_GB2312"/>
          <w:color w:val="000000"/>
          <w:spacing w:val="17"/>
          <w:sz w:val="32"/>
          <w:szCs w:val="32"/>
        </w:rPr>
        <w:t>≥</w:t>
      </w:r>
      <w:r>
        <w:rPr>
          <w:rFonts w:hint="eastAsia" w:eastAsia="仿宋_GB2312"/>
          <w:color w:val="000000"/>
          <w:spacing w:val="17"/>
          <w:sz w:val="32"/>
          <w:szCs w:val="32"/>
        </w:rPr>
        <w:t>95%</w:t>
      </w:r>
      <w:r>
        <w:rPr>
          <w:rFonts w:eastAsia="仿宋_GB2312"/>
          <w:sz w:val="32"/>
          <w:szCs w:val="32"/>
        </w:rPr>
        <w:t>，实际完成值</w:t>
      </w:r>
      <w:r>
        <w:rPr>
          <w:rFonts w:hint="eastAsia" w:eastAsia="仿宋_GB2312"/>
          <w:sz w:val="32"/>
          <w:szCs w:val="32"/>
        </w:rPr>
        <w:t>：</w:t>
      </w:r>
      <w:r>
        <w:rPr>
          <w:rFonts w:hint="eastAsia" w:eastAsia="仿宋_GB2312"/>
          <w:color w:val="000000"/>
          <w:spacing w:val="17"/>
          <w:sz w:val="32"/>
          <w:szCs w:val="32"/>
        </w:rPr>
        <w:t>100%</w:t>
      </w:r>
      <w:r>
        <w:rPr>
          <w:rFonts w:eastAsia="仿宋_GB2312"/>
          <w:sz w:val="32"/>
          <w:szCs w:val="32"/>
        </w:rPr>
        <w:t>，指标完成率</w:t>
      </w:r>
      <w:r>
        <w:rPr>
          <w:rFonts w:hint="eastAsia" w:eastAsia="仿宋_GB2312"/>
          <w:sz w:val="32"/>
          <w:szCs w:val="32"/>
        </w:rPr>
        <w:t>105.26</w:t>
      </w:r>
      <w:r>
        <w:rPr>
          <w:rFonts w:eastAsia="仿宋_GB2312"/>
          <w:sz w:val="32"/>
          <w:szCs w:val="32"/>
        </w:rPr>
        <w:t>%</w:t>
      </w:r>
      <w:r>
        <w:rPr>
          <w:rFonts w:hint="eastAsia" w:eastAsia="仿宋_GB2312"/>
          <w:sz w:val="32"/>
          <w:szCs w:val="32"/>
        </w:rPr>
        <w:t>。偏差原因：政协委员对政协工作达到满意，工作按时交办</w:t>
      </w:r>
      <w:r>
        <w:rPr>
          <w:rFonts w:hint="eastAsia" w:eastAsia="仿宋_GB2312"/>
          <w:sz w:val="32"/>
          <w:szCs w:val="32"/>
          <w:lang w:eastAsia="zh-CN"/>
        </w:rPr>
        <w:t>。</w:t>
      </w:r>
    </w:p>
    <w:p w14:paraId="24CCD679">
      <w:pPr>
        <w:spacing w:line="600" w:lineRule="exact"/>
        <w:ind w:firstLine="640" w:firstLineChars="200"/>
        <w:outlineLvl w:val="0"/>
        <w:rPr>
          <w:rFonts w:eastAsia="仿宋_GB2312"/>
          <w:sz w:val="32"/>
          <w:szCs w:val="32"/>
        </w:rPr>
      </w:pPr>
      <w:r>
        <w:rPr>
          <w:rFonts w:hint="eastAsia" w:eastAsia="仿宋_GB2312"/>
          <w:sz w:val="32"/>
          <w:szCs w:val="32"/>
        </w:rPr>
        <w:t>此项权重分值为10分，得分为10分。</w:t>
      </w:r>
    </w:p>
    <w:p w14:paraId="79911B19">
      <w:pPr>
        <w:spacing w:line="560" w:lineRule="exact"/>
        <w:ind w:firstLine="643" w:firstLineChars="200"/>
        <w:rPr>
          <w:rFonts w:eastAsia="楷体_GB2312"/>
          <w:b/>
          <w:bCs/>
          <w:sz w:val="32"/>
          <w:szCs w:val="32"/>
        </w:rPr>
      </w:pPr>
      <w:r>
        <w:rPr>
          <w:rFonts w:eastAsia="楷体_GB2312"/>
          <w:b/>
          <w:bCs/>
          <w:sz w:val="32"/>
          <w:szCs w:val="32"/>
        </w:rPr>
        <w:t>（五）预算执行进度与绩效指标总体完成率偏差</w:t>
      </w:r>
    </w:p>
    <w:p w14:paraId="7DE0E945">
      <w:pPr>
        <w:spacing w:line="600" w:lineRule="exact"/>
        <w:ind w:firstLine="708" w:firstLineChars="200"/>
        <w:outlineLvl w:val="0"/>
        <w:rPr>
          <w:rFonts w:hint="default" w:eastAsia="仿宋_GB2312"/>
          <w:color w:val="000000"/>
          <w:spacing w:val="17"/>
          <w:kern w:val="2"/>
          <w:sz w:val="32"/>
          <w:szCs w:val="32"/>
          <w:lang w:val="en-US" w:eastAsia="zh-CN"/>
        </w:rPr>
      </w:pPr>
      <w:r>
        <w:rPr>
          <w:rFonts w:hint="eastAsia" w:eastAsia="仿宋_GB2312"/>
          <w:color w:val="000000"/>
          <w:spacing w:val="17"/>
          <w:kern w:val="2"/>
          <w:sz w:val="32"/>
          <w:szCs w:val="32"/>
        </w:rPr>
        <w:t>自治区政协补助经费</w:t>
      </w:r>
      <w:r>
        <w:rPr>
          <w:rFonts w:eastAsia="仿宋_GB2312"/>
          <w:color w:val="000000"/>
          <w:spacing w:val="17"/>
          <w:kern w:val="2"/>
          <w:sz w:val="32"/>
          <w:szCs w:val="32"/>
        </w:rPr>
        <w:t>项目年初预算</w:t>
      </w:r>
      <w:r>
        <w:rPr>
          <w:rFonts w:hint="eastAsia" w:eastAsia="仿宋_GB2312"/>
          <w:color w:val="000000"/>
          <w:spacing w:val="17"/>
          <w:kern w:val="2"/>
          <w:sz w:val="32"/>
          <w:szCs w:val="32"/>
        </w:rPr>
        <w:t>5</w:t>
      </w:r>
      <w:r>
        <w:rPr>
          <w:rFonts w:eastAsia="仿宋_GB2312"/>
          <w:color w:val="000000"/>
          <w:spacing w:val="17"/>
          <w:kern w:val="2"/>
          <w:sz w:val="32"/>
          <w:szCs w:val="32"/>
        </w:rPr>
        <w:t>万元，全年预算</w:t>
      </w:r>
      <w:r>
        <w:rPr>
          <w:rFonts w:hint="eastAsia" w:eastAsia="仿宋_GB2312"/>
          <w:color w:val="000000"/>
          <w:spacing w:val="17"/>
          <w:kern w:val="2"/>
          <w:sz w:val="32"/>
          <w:szCs w:val="32"/>
        </w:rPr>
        <w:t>5</w:t>
      </w:r>
      <w:r>
        <w:rPr>
          <w:rFonts w:eastAsia="仿宋_GB2312"/>
          <w:color w:val="000000"/>
          <w:spacing w:val="17"/>
          <w:kern w:val="2"/>
          <w:sz w:val="32"/>
          <w:szCs w:val="32"/>
        </w:rPr>
        <w:t>万元，实际支出</w:t>
      </w:r>
      <w:r>
        <w:rPr>
          <w:rFonts w:hint="eastAsia" w:eastAsia="仿宋_GB2312"/>
          <w:color w:val="000000"/>
          <w:spacing w:val="17"/>
          <w:kern w:val="2"/>
          <w:sz w:val="32"/>
          <w:szCs w:val="32"/>
        </w:rPr>
        <w:t>4.97</w:t>
      </w:r>
      <w:r>
        <w:rPr>
          <w:rFonts w:eastAsia="仿宋_GB2312"/>
          <w:color w:val="000000"/>
          <w:spacing w:val="17"/>
          <w:kern w:val="2"/>
          <w:sz w:val="32"/>
          <w:szCs w:val="32"/>
        </w:rPr>
        <w:t>万元，预算执行率为</w:t>
      </w:r>
      <w:r>
        <w:rPr>
          <w:rFonts w:hint="eastAsia" w:eastAsia="仿宋_GB2312"/>
          <w:color w:val="000000"/>
          <w:spacing w:val="17"/>
          <w:kern w:val="2"/>
          <w:sz w:val="32"/>
          <w:szCs w:val="32"/>
        </w:rPr>
        <w:t>99.40</w:t>
      </w:r>
      <w:r>
        <w:rPr>
          <w:rFonts w:eastAsia="仿宋_GB2312"/>
          <w:color w:val="000000"/>
          <w:spacing w:val="17"/>
          <w:kern w:val="2"/>
          <w:sz w:val="32"/>
          <w:szCs w:val="32"/>
        </w:rPr>
        <w:t>%，项目绩效指标总体完成率为</w:t>
      </w:r>
      <w:r>
        <w:rPr>
          <w:rFonts w:hint="eastAsia" w:eastAsia="仿宋_GB2312"/>
          <w:color w:val="000000"/>
          <w:spacing w:val="17"/>
          <w:kern w:val="2"/>
          <w:sz w:val="32"/>
          <w:szCs w:val="32"/>
          <w:lang w:val="en-US" w:eastAsia="zh-CN"/>
        </w:rPr>
        <w:t>100.91</w:t>
      </w:r>
      <w:r>
        <w:rPr>
          <w:rFonts w:eastAsia="仿宋_GB2312"/>
          <w:color w:val="000000"/>
          <w:spacing w:val="17"/>
          <w:kern w:val="2"/>
          <w:sz w:val="32"/>
          <w:szCs w:val="32"/>
        </w:rPr>
        <w:t>%</w:t>
      </w:r>
      <w:r>
        <w:rPr>
          <w:rFonts w:hint="eastAsia" w:eastAsia="仿宋_GB2312"/>
          <w:color w:val="000000"/>
          <w:spacing w:val="17"/>
          <w:kern w:val="2"/>
          <w:sz w:val="32"/>
          <w:szCs w:val="32"/>
          <w:lang w:eastAsia="zh-CN"/>
        </w:rPr>
        <w:t>，</w:t>
      </w:r>
      <w:r>
        <w:rPr>
          <w:rFonts w:hint="eastAsia" w:eastAsia="仿宋_GB2312"/>
          <w:color w:val="000000"/>
          <w:spacing w:val="17"/>
          <w:kern w:val="2"/>
          <w:sz w:val="32"/>
          <w:szCs w:val="32"/>
          <w:lang w:val="en-US" w:eastAsia="zh-CN"/>
        </w:rPr>
        <w:t>总体偏差率为1.51%，偏差原因：厉行节约，导致基层政协补助经费有结余。</w:t>
      </w:r>
      <w:r>
        <w:rPr>
          <w:rFonts w:hint="eastAsia" w:eastAsia="仿宋_GB2312"/>
          <w:sz w:val="32"/>
          <w:szCs w:val="32"/>
        </w:rPr>
        <w:t>改进措施：合理安排资金支出。</w:t>
      </w:r>
    </w:p>
    <w:p w14:paraId="746EC5E6">
      <w:pPr>
        <w:spacing w:line="560" w:lineRule="exact"/>
        <w:ind w:firstLine="640" w:firstLineChars="200"/>
        <w:rPr>
          <w:rStyle w:val="20"/>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14:paraId="52CBDCFA">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0FEAEA08">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7CBDBEF">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F560298">
      <w:pPr>
        <w:keepNext/>
        <w:keepLines/>
        <w:numPr>
          <w:ilvl w:val="0"/>
          <w:numId w:val="4"/>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04E2948B">
      <w:pPr>
        <w:spacing w:line="600" w:lineRule="exact"/>
        <w:ind w:firstLine="640" w:firstLineChars="200"/>
        <w:outlineLvl w:val="0"/>
        <w:rPr>
          <w:rFonts w:eastAsia="仿宋_GB2312"/>
          <w:sz w:val="32"/>
          <w:szCs w:val="32"/>
        </w:rPr>
      </w:pPr>
      <w:bookmarkStart w:id="23" w:name="OLE_LINK27"/>
      <w:r>
        <w:rPr>
          <w:rFonts w:eastAsia="仿宋_GB2312"/>
          <w:sz w:val="32"/>
          <w:szCs w:val="32"/>
        </w:rPr>
        <w:t>1.</w:t>
      </w:r>
      <w:bookmarkEnd w:id="23"/>
      <w:r>
        <w:rPr>
          <w:rFonts w:eastAsia="仿宋_GB2312"/>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87152E9">
      <w:pPr>
        <w:spacing w:line="520" w:lineRule="exact"/>
        <w:ind w:firstLine="640" w:firstLineChars="200"/>
        <w:rPr>
          <w:rFonts w:ascii="仿宋_GB2312" w:eastAsia="仿宋_GB2312" w:hAnsiTheme="majorHAnsi" w:cstheme="majorBidi"/>
          <w:sz w:val="32"/>
          <w:szCs w:val="32"/>
        </w:rPr>
      </w:pPr>
      <w:r>
        <w:rPr>
          <w:rFonts w:hint="eastAsia" w:eastAsia="仿宋_GB2312"/>
          <w:sz w:val="32"/>
          <w:szCs w:val="32"/>
        </w:rPr>
        <w:t>2</w:t>
      </w:r>
      <w:r>
        <w:rPr>
          <w:rFonts w:eastAsia="仿宋_GB2312"/>
          <w:sz w:val="32"/>
          <w:szCs w:val="32"/>
        </w:rPr>
        <w:t>.</w:t>
      </w:r>
      <w:r>
        <w:rPr>
          <w:rFonts w:hint="eastAsia" w:ascii="仿宋_GB2312" w:eastAsia="仿宋_GB2312" w:hAnsiTheme="majorHAnsi" w:cstheme="majorBidi"/>
          <w:sz w:val="32"/>
          <w:szCs w:val="32"/>
        </w:rPr>
        <w:t>工作人员在绩效管理方面专业知识的系统性学习有待加强。在绩效自评过程中，由于工作人员缺乏相关绩效管理专业知识，自评价工作还存在自我审定的局限性，影响评价质量。</w:t>
      </w:r>
    </w:p>
    <w:p w14:paraId="5F40AC05">
      <w:pPr>
        <w:spacing w:line="520" w:lineRule="exact"/>
        <w:ind w:firstLine="640" w:firstLineChars="200"/>
        <w:rPr>
          <w:rFonts w:ascii="仿宋_GB2312" w:eastAsia="仿宋_GB2312" w:hAnsiTheme="majorHAnsi" w:cstheme="majorBidi"/>
          <w:sz w:val="32"/>
          <w:szCs w:val="32"/>
        </w:rPr>
      </w:pPr>
      <w:r>
        <w:rPr>
          <w:rFonts w:hint="eastAsia" w:eastAsia="仿宋_GB2312"/>
          <w:sz w:val="32"/>
          <w:szCs w:val="32"/>
        </w:rPr>
        <w:t>3</w:t>
      </w:r>
      <w:r>
        <w:rPr>
          <w:rFonts w:eastAsia="仿宋_GB2312"/>
          <w:sz w:val="32"/>
          <w:szCs w:val="32"/>
        </w:rPr>
        <w:t>.</w:t>
      </w:r>
      <w:r>
        <w:rPr>
          <w:rFonts w:hint="eastAsia" w:ascii="仿宋_GB2312" w:eastAsia="仿宋_GB2312" w:hAnsiTheme="majorHAnsi" w:cstheme="majorBidi"/>
          <w:sz w:val="32"/>
          <w:szCs w:val="32"/>
        </w:rPr>
        <w:t>单位绩效工作人员在提交送审的材料中存在排版、错字等问题。</w:t>
      </w:r>
    </w:p>
    <w:p w14:paraId="70317C57">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51E94623">
      <w:pPr>
        <w:spacing w:line="520" w:lineRule="exact"/>
        <w:ind w:firstLine="640" w:firstLineChars="200"/>
        <w:rPr>
          <w:rFonts w:ascii="仿宋_GB2312" w:eastAsia="仿宋_GB2312" w:hAnsiTheme="majorHAnsi" w:cstheme="majorBidi"/>
          <w:sz w:val="32"/>
          <w:szCs w:val="32"/>
        </w:rPr>
      </w:pPr>
      <w:r>
        <w:rPr>
          <w:rFonts w:hint="eastAsia" w:eastAsia="仿宋_GB2312"/>
          <w:sz w:val="32"/>
          <w:szCs w:val="32"/>
        </w:rPr>
        <w:t>1</w:t>
      </w:r>
      <w:r>
        <w:rPr>
          <w:rFonts w:eastAsia="仿宋_GB2312"/>
          <w:sz w:val="32"/>
          <w:szCs w:val="32"/>
        </w:rPr>
        <w:t>.</w:t>
      </w:r>
      <w:r>
        <w:rPr>
          <w:rFonts w:hint="eastAsia" w:ascii="仿宋_GB2312" w:eastAsia="仿宋_GB2312" w:hAnsiTheme="majorHAnsi" w:cstheme="majorBidi"/>
          <w:sz w:val="32"/>
          <w:szCs w:val="32"/>
        </w:rPr>
        <w:t>要求单位绩效管理工作人员多参加有关绩效管理工作方面的培训，进一步夯实业务基础，提高我单位绩效人员水平。</w:t>
      </w:r>
    </w:p>
    <w:p w14:paraId="2E1C8779">
      <w:pPr>
        <w:spacing w:line="560" w:lineRule="exact"/>
        <w:ind w:firstLine="640" w:firstLineChars="200"/>
        <w:rPr>
          <w:rFonts w:ascii="仿宋_GB2312" w:eastAsia="仿宋_GB2312" w:hAnsiTheme="majorHAnsi" w:cstheme="majorBidi"/>
          <w:sz w:val="32"/>
          <w:szCs w:val="32"/>
        </w:rPr>
      </w:pPr>
      <w:r>
        <w:rPr>
          <w:rFonts w:hint="eastAsia" w:eastAsia="仿宋_GB2312"/>
          <w:sz w:val="32"/>
          <w:szCs w:val="32"/>
        </w:rPr>
        <w:t>2</w:t>
      </w:r>
      <w:r>
        <w:rPr>
          <w:rFonts w:eastAsia="仿宋_GB2312"/>
          <w:sz w:val="32"/>
          <w:szCs w:val="32"/>
        </w:rPr>
        <w:t>.</w:t>
      </w:r>
      <w:r>
        <w:rPr>
          <w:rFonts w:hint="eastAsia" w:ascii="仿宋_GB2312" w:eastAsia="仿宋_GB2312" w:hAnsiTheme="majorHAnsi" w:cstheme="majorBidi"/>
          <w:sz w:val="32"/>
          <w:szCs w:val="32"/>
        </w:rPr>
        <w:t>加强对绩效管理工作中的审查把关，不断提高工作水平，对绩效报告文字及排版要层层审核，杜绝出现文字性错误。</w:t>
      </w:r>
    </w:p>
    <w:p w14:paraId="12E82ABD">
      <w:pPr>
        <w:spacing w:line="600" w:lineRule="exact"/>
        <w:ind w:firstLine="640" w:firstLineChars="200"/>
        <w:outlineLvl w:val="0"/>
        <w:rPr>
          <w:rFonts w:eastAsia="仿宋_GB2312"/>
          <w:sz w:val="32"/>
          <w:szCs w:val="32"/>
        </w:rPr>
      </w:pPr>
      <w:bookmarkStart w:id="24" w:name="OLE_LINK28"/>
      <w:r>
        <w:rPr>
          <w:rFonts w:eastAsia="仿宋_GB2312"/>
          <w:sz w:val="32"/>
          <w:szCs w:val="32"/>
        </w:rPr>
        <w:t>3.</w:t>
      </w:r>
      <w:bookmarkEnd w:id="24"/>
      <w:r>
        <w:rPr>
          <w:rFonts w:eastAsia="仿宋_GB2312"/>
          <w:sz w:val="32"/>
          <w:szCs w:val="32"/>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BAFB506">
      <w:pPr>
        <w:spacing w:line="600" w:lineRule="exact"/>
        <w:ind w:firstLine="640" w:firstLineChars="200"/>
        <w:outlineLvl w:val="0"/>
        <w:rPr>
          <w:sz w:val="22"/>
          <w:szCs w:val="28"/>
        </w:rPr>
      </w:pPr>
      <w:r>
        <w:rPr>
          <w:rFonts w:eastAsia="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14:paraId="32F1D0CC">
      <w:pPr>
        <w:spacing w:line="600" w:lineRule="exact"/>
        <w:ind w:firstLine="640" w:firstLineChars="200"/>
        <w:outlineLvl w:val="0"/>
        <w:rPr>
          <w:rFonts w:eastAsia="仿宋_GB2312"/>
          <w:sz w:val="32"/>
          <w:szCs w:val="32"/>
        </w:rPr>
      </w:pPr>
      <w:r>
        <w:rPr>
          <w:rFonts w:eastAsia="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0EB80CE">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25" w:name="page8"/>
      <w:bookmarkEnd w:id="25"/>
      <w:r>
        <w:rPr>
          <w:rFonts w:eastAsia="黑体"/>
          <w:sz w:val="32"/>
          <w:szCs w:val="32"/>
        </w:rPr>
        <w:t>明的问题</w:t>
      </w:r>
    </w:p>
    <w:p w14:paraId="5B0F8EA1">
      <w:pPr>
        <w:pStyle w:val="12"/>
        <w:spacing w:after="0" w:line="56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本项目无其他需说明的问题。</w:t>
      </w:r>
    </w:p>
    <w:p w14:paraId="41293615">
      <w:pPr>
        <w:pStyle w:val="12"/>
        <w:spacing w:after="0" w:line="560" w:lineRule="exact"/>
        <w:ind w:left="0" w:leftChars="0" w:firstLine="640"/>
        <w:rPr>
          <w:rFonts w:ascii="Times New Roman" w:hAnsi="Times New Roman" w:eastAsia="仿宋_GB2312"/>
          <w:sz w:val="32"/>
          <w:szCs w:val="32"/>
        </w:rPr>
      </w:pPr>
    </w:p>
    <w:p w14:paraId="660F16DF">
      <w:pPr>
        <w:pStyle w:val="12"/>
        <w:spacing w:after="0" w:line="560" w:lineRule="exact"/>
        <w:ind w:left="0" w:leftChars="0" w:firstLine="640"/>
        <w:rPr>
          <w:rFonts w:ascii="Times New Roman" w:hAnsi="Times New Roman" w:eastAsia="仿宋_GB2312"/>
          <w:sz w:val="32"/>
          <w:szCs w:val="32"/>
        </w:rPr>
      </w:pPr>
    </w:p>
    <w:p w14:paraId="262D1FC7">
      <w:pPr>
        <w:pStyle w:val="12"/>
        <w:spacing w:after="0" w:line="560" w:lineRule="exact"/>
        <w:ind w:left="0" w:leftChars="0" w:firstLine="0" w:firstLineChars="0"/>
        <w:rPr>
          <w:rFonts w:ascii="Times New Roman" w:hAnsi="Times New Roman" w:eastAsia="仿宋_GB2312"/>
          <w:sz w:val="32"/>
          <w:szCs w:val="32"/>
        </w:rPr>
      </w:pPr>
    </w:p>
    <w:p w14:paraId="07A4432F">
      <w:pPr>
        <w:spacing w:line="600" w:lineRule="exact"/>
        <w:rPr>
          <w:rFonts w:eastAsia="黑体"/>
          <w:sz w:val="32"/>
          <w:szCs w:val="32"/>
        </w:rPr>
        <w:sectPr>
          <w:footerReference r:id="rId3" w:type="default"/>
          <w:pgSz w:w="11906" w:h="16838"/>
          <w:pgMar w:top="1440" w:right="1558" w:bottom="1440" w:left="1800" w:header="851" w:footer="992" w:gutter="0"/>
          <w:pgNumType w:start="1"/>
          <w:cols w:space="425" w:num="1"/>
          <w:docGrid w:type="lines" w:linePitch="312" w:charSpace="0"/>
        </w:sectPr>
      </w:pPr>
    </w:p>
    <w:p w14:paraId="1FAED568">
      <w:pPr>
        <w:spacing w:line="600" w:lineRule="exact"/>
        <w:rPr>
          <w:rFonts w:eastAsia="黑体"/>
          <w:sz w:val="32"/>
          <w:szCs w:val="32"/>
        </w:rPr>
      </w:pPr>
      <w:r>
        <w:rPr>
          <w:rFonts w:hint="eastAsia" w:eastAsia="黑体"/>
          <w:sz w:val="32"/>
          <w:szCs w:val="32"/>
        </w:rPr>
        <w:t>附件13</w:t>
      </w:r>
    </w:p>
    <w:p w14:paraId="415D5EE2">
      <w:pPr>
        <w:pStyle w:val="21"/>
        <w:ind w:firstLine="562"/>
        <w:jc w:val="center"/>
        <w:rPr>
          <w:rFonts w:ascii="仿宋_GB2312" w:hAnsi="仿宋_GB2312" w:eastAsia="仿宋_GB2312" w:cs="仿宋_GB2312"/>
          <w:b/>
          <w:bCs/>
          <w:sz w:val="32"/>
          <w:szCs w:val="32"/>
        </w:rPr>
      </w:pPr>
      <w:bookmarkStart w:id="26" w:name="_Toc30064_WPSOffice_Level1"/>
      <w:bookmarkStart w:id="27" w:name="_Toc26499_WPSOffice_Level2"/>
      <w:r>
        <w:rPr>
          <w:rFonts w:hint="eastAsia" w:ascii="仿宋_GB2312" w:hAnsi="仿宋_GB2312" w:eastAsia="仿宋_GB2312" w:cs="仿宋_GB2312"/>
          <w:b/>
          <w:bCs/>
          <w:sz w:val="32"/>
          <w:szCs w:val="32"/>
        </w:rPr>
        <w:t>自治区基层政协补助经费项目绩效评价指标体系及综合评分表</w:t>
      </w:r>
      <w:bookmarkEnd w:id="26"/>
      <w:bookmarkEnd w:id="27"/>
    </w:p>
    <w:tbl>
      <w:tblPr>
        <w:tblStyle w:val="13"/>
        <w:tblW w:w="4474"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14:paraId="58532D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14:paraId="2C22EED1">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一级指标</w:t>
            </w:r>
          </w:p>
        </w:tc>
        <w:tc>
          <w:tcPr>
            <w:tcW w:w="394" w:type="pct"/>
            <w:shd w:val="clear" w:color="auto" w:fill="FFFFFF"/>
            <w:vAlign w:val="center"/>
          </w:tcPr>
          <w:p w14:paraId="496B5D3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二级指标</w:t>
            </w:r>
          </w:p>
        </w:tc>
        <w:tc>
          <w:tcPr>
            <w:tcW w:w="422" w:type="pct"/>
            <w:shd w:val="clear" w:color="auto" w:fill="FFFFFF"/>
            <w:vAlign w:val="center"/>
          </w:tcPr>
          <w:p w14:paraId="6151E1D1">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三级指标</w:t>
            </w:r>
          </w:p>
        </w:tc>
        <w:tc>
          <w:tcPr>
            <w:tcW w:w="680" w:type="pct"/>
            <w:shd w:val="clear" w:color="auto" w:fill="FFFFFF"/>
            <w:vAlign w:val="center"/>
          </w:tcPr>
          <w:p w14:paraId="5B3D784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指标解释</w:t>
            </w:r>
          </w:p>
        </w:tc>
        <w:tc>
          <w:tcPr>
            <w:tcW w:w="2055" w:type="pct"/>
            <w:shd w:val="clear" w:color="auto" w:fill="FFFFFF"/>
            <w:vAlign w:val="center"/>
          </w:tcPr>
          <w:p w14:paraId="08423DA3">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指标说明</w:t>
            </w:r>
          </w:p>
        </w:tc>
        <w:tc>
          <w:tcPr>
            <w:tcW w:w="512" w:type="pct"/>
            <w:shd w:val="clear" w:color="auto" w:fill="FFFFFF"/>
            <w:vAlign w:val="center"/>
          </w:tcPr>
          <w:p w14:paraId="2D879B37">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权重</w:t>
            </w:r>
          </w:p>
        </w:tc>
        <w:tc>
          <w:tcPr>
            <w:tcW w:w="538" w:type="pct"/>
            <w:shd w:val="clear" w:color="auto" w:fill="FFFFFF"/>
            <w:vAlign w:val="center"/>
          </w:tcPr>
          <w:p w14:paraId="5A2AE168">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得分</w:t>
            </w:r>
          </w:p>
        </w:tc>
      </w:tr>
      <w:tr w14:paraId="797628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14:paraId="542983AF">
            <w:pPr>
              <w:widowControl/>
              <w:spacing w:line="0" w:lineRule="atLeast"/>
              <w:jc w:val="center"/>
              <w:rPr>
                <w:rFonts w:eastAsia="仿宋_GB2312"/>
                <w:color w:val="000000"/>
                <w:kern w:val="0"/>
                <w:sz w:val="18"/>
                <w:szCs w:val="18"/>
              </w:rPr>
            </w:pPr>
          </w:p>
          <w:p w14:paraId="26B59DC5">
            <w:pPr>
              <w:widowControl/>
              <w:spacing w:line="0" w:lineRule="atLeast"/>
              <w:jc w:val="center"/>
              <w:rPr>
                <w:rFonts w:eastAsia="仿宋_GB2312"/>
                <w:color w:val="000000"/>
                <w:kern w:val="0"/>
                <w:sz w:val="18"/>
                <w:szCs w:val="18"/>
              </w:rPr>
            </w:pPr>
          </w:p>
          <w:p w14:paraId="1E8E3540">
            <w:pPr>
              <w:widowControl/>
              <w:spacing w:line="0" w:lineRule="atLeast"/>
              <w:jc w:val="center"/>
              <w:rPr>
                <w:rFonts w:eastAsia="仿宋_GB2312"/>
                <w:color w:val="000000"/>
                <w:kern w:val="0"/>
                <w:sz w:val="18"/>
                <w:szCs w:val="18"/>
              </w:rPr>
            </w:pPr>
          </w:p>
          <w:p w14:paraId="4B63B553">
            <w:pPr>
              <w:widowControl/>
              <w:spacing w:line="0" w:lineRule="atLeast"/>
              <w:jc w:val="center"/>
              <w:rPr>
                <w:rFonts w:eastAsia="仿宋_GB2312"/>
                <w:color w:val="000000"/>
                <w:kern w:val="0"/>
                <w:sz w:val="18"/>
                <w:szCs w:val="18"/>
              </w:rPr>
            </w:pPr>
          </w:p>
          <w:p w14:paraId="211B77E2">
            <w:pPr>
              <w:widowControl/>
              <w:spacing w:line="0" w:lineRule="atLeast"/>
              <w:jc w:val="center"/>
              <w:rPr>
                <w:rFonts w:eastAsia="仿宋_GB2312"/>
                <w:color w:val="000000"/>
                <w:kern w:val="0"/>
                <w:sz w:val="18"/>
                <w:szCs w:val="18"/>
              </w:rPr>
            </w:pPr>
          </w:p>
          <w:p w14:paraId="3E4EB38C">
            <w:pPr>
              <w:widowControl/>
              <w:spacing w:line="0" w:lineRule="atLeast"/>
              <w:jc w:val="center"/>
              <w:rPr>
                <w:rFonts w:eastAsia="仿宋_GB2312"/>
                <w:color w:val="000000"/>
                <w:kern w:val="0"/>
                <w:sz w:val="18"/>
                <w:szCs w:val="18"/>
              </w:rPr>
            </w:pPr>
          </w:p>
          <w:p w14:paraId="06AC405F">
            <w:pPr>
              <w:widowControl/>
              <w:spacing w:line="0" w:lineRule="atLeast"/>
              <w:jc w:val="center"/>
              <w:rPr>
                <w:rFonts w:eastAsia="仿宋_GB2312"/>
                <w:color w:val="000000"/>
                <w:kern w:val="0"/>
                <w:sz w:val="18"/>
                <w:szCs w:val="18"/>
              </w:rPr>
            </w:pPr>
            <w:r>
              <w:rPr>
                <w:rFonts w:eastAsia="仿宋_GB2312"/>
                <w:color w:val="000000"/>
                <w:kern w:val="0"/>
                <w:sz w:val="18"/>
                <w:szCs w:val="18"/>
              </w:rPr>
              <w:t>决策　</w:t>
            </w:r>
          </w:p>
        </w:tc>
        <w:tc>
          <w:tcPr>
            <w:tcW w:w="394" w:type="pct"/>
            <w:vMerge w:val="restart"/>
            <w:shd w:val="clear" w:color="auto" w:fill="FFFFFF"/>
            <w:vAlign w:val="center"/>
          </w:tcPr>
          <w:p w14:paraId="0C3F53B8">
            <w:pPr>
              <w:widowControl/>
              <w:spacing w:line="0" w:lineRule="atLeast"/>
              <w:jc w:val="center"/>
              <w:rPr>
                <w:rFonts w:eastAsia="仿宋_GB2312"/>
                <w:color w:val="000000"/>
                <w:kern w:val="0"/>
                <w:sz w:val="18"/>
                <w:szCs w:val="18"/>
              </w:rPr>
            </w:pPr>
            <w:r>
              <w:rPr>
                <w:rFonts w:eastAsia="仿宋_GB2312"/>
                <w:color w:val="000000"/>
                <w:kern w:val="0"/>
                <w:sz w:val="18"/>
                <w:szCs w:val="18"/>
              </w:rPr>
              <w:t>项目立项　</w:t>
            </w:r>
          </w:p>
        </w:tc>
        <w:tc>
          <w:tcPr>
            <w:tcW w:w="422" w:type="pct"/>
            <w:shd w:val="clear" w:color="auto" w:fill="FFFFFF"/>
            <w:vAlign w:val="center"/>
          </w:tcPr>
          <w:p w14:paraId="7CA3D124">
            <w:pPr>
              <w:widowControl/>
              <w:spacing w:line="0" w:lineRule="atLeast"/>
              <w:jc w:val="center"/>
              <w:rPr>
                <w:rFonts w:eastAsia="仿宋_GB2312"/>
                <w:color w:val="000000"/>
                <w:kern w:val="0"/>
                <w:sz w:val="18"/>
                <w:szCs w:val="18"/>
              </w:rPr>
            </w:pPr>
            <w:r>
              <w:rPr>
                <w:rFonts w:eastAsia="仿宋_GB2312"/>
                <w:color w:val="000000"/>
                <w:kern w:val="0"/>
                <w:sz w:val="18"/>
                <w:szCs w:val="18"/>
              </w:rPr>
              <w:t>立项依据</w:t>
            </w:r>
          </w:p>
          <w:p w14:paraId="34D46511">
            <w:pPr>
              <w:widowControl/>
              <w:spacing w:line="0" w:lineRule="atLeast"/>
              <w:jc w:val="center"/>
              <w:rPr>
                <w:rFonts w:eastAsia="仿宋_GB2312"/>
                <w:color w:val="000000"/>
                <w:kern w:val="0"/>
                <w:sz w:val="18"/>
                <w:szCs w:val="18"/>
              </w:rPr>
            </w:pPr>
            <w:r>
              <w:rPr>
                <w:rFonts w:eastAsia="仿宋_GB2312"/>
                <w:color w:val="000000"/>
                <w:kern w:val="0"/>
                <w:sz w:val="18"/>
                <w:szCs w:val="18"/>
              </w:rPr>
              <w:t>充分性</w:t>
            </w:r>
          </w:p>
        </w:tc>
        <w:tc>
          <w:tcPr>
            <w:tcW w:w="680" w:type="pct"/>
            <w:shd w:val="clear" w:color="auto" w:fill="FFFFFF"/>
            <w:vAlign w:val="center"/>
          </w:tcPr>
          <w:p w14:paraId="089EE57D">
            <w:pPr>
              <w:widowControl/>
              <w:spacing w:line="0" w:lineRule="atLeast"/>
              <w:rPr>
                <w:rFonts w:eastAsia="仿宋_GB2312"/>
                <w:color w:val="000000"/>
                <w:kern w:val="0"/>
                <w:sz w:val="18"/>
                <w:szCs w:val="18"/>
              </w:rPr>
            </w:pPr>
            <w:r>
              <w:rPr>
                <w:rFonts w:eastAsia="仿宋_GB2312"/>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14:paraId="474175E3">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①项目立项是否符合国家法律法规、国民经济发展规划和相关政策；</w:t>
            </w:r>
            <w:r>
              <w:rPr>
                <w:rFonts w:eastAsia="仿宋_GB2312"/>
                <w:color w:val="000000"/>
                <w:kern w:val="0"/>
                <w:sz w:val="18"/>
                <w:szCs w:val="18"/>
              </w:rPr>
              <w:br w:type="textWrapping"/>
            </w:r>
            <w:r>
              <w:rPr>
                <w:rFonts w:eastAsia="仿宋_GB2312"/>
                <w:color w:val="000000"/>
                <w:kern w:val="0"/>
                <w:sz w:val="18"/>
                <w:szCs w:val="18"/>
              </w:rPr>
              <w:t>②项目立项是否符合行业发展规划和政策要求；</w:t>
            </w:r>
            <w:r>
              <w:rPr>
                <w:rFonts w:eastAsia="仿宋_GB2312"/>
                <w:color w:val="000000"/>
                <w:kern w:val="0"/>
                <w:sz w:val="18"/>
                <w:szCs w:val="18"/>
              </w:rPr>
              <w:br w:type="textWrapping"/>
            </w:r>
            <w:r>
              <w:rPr>
                <w:rFonts w:eastAsia="仿宋_GB2312"/>
                <w:color w:val="000000"/>
                <w:kern w:val="0"/>
                <w:sz w:val="18"/>
                <w:szCs w:val="18"/>
              </w:rPr>
              <w:t>③项目立项是否与部门职责范围相符，属于部门履职所需；</w:t>
            </w:r>
            <w:r>
              <w:rPr>
                <w:rFonts w:eastAsia="仿宋_GB2312"/>
                <w:color w:val="000000"/>
                <w:kern w:val="0"/>
                <w:sz w:val="18"/>
                <w:szCs w:val="18"/>
              </w:rPr>
              <w:br w:type="textWrapping"/>
            </w:r>
            <w:r>
              <w:rPr>
                <w:rFonts w:eastAsia="仿宋_GB2312"/>
                <w:color w:val="000000"/>
                <w:kern w:val="0"/>
                <w:sz w:val="18"/>
                <w:szCs w:val="18"/>
              </w:rPr>
              <w:t>④项目是否属于公共财政支持范围，是否符合中央、地方事权支出责任划分原则；</w:t>
            </w:r>
            <w:r>
              <w:rPr>
                <w:rFonts w:eastAsia="仿宋_GB2312"/>
                <w:color w:val="000000"/>
                <w:kern w:val="0"/>
                <w:sz w:val="18"/>
                <w:szCs w:val="18"/>
              </w:rPr>
              <w:br w:type="textWrapping"/>
            </w:r>
            <w:r>
              <w:rPr>
                <w:rFonts w:eastAsia="仿宋_GB2312"/>
                <w:color w:val="000000"/>
                <w:kern w:val="0"/>
                <w:sz w:val="18"/>
                <w:szCs w:val="18"/>
              </w:rPr>
              <w:t>⑤项目是否与相关部门同类项目或部门内部相关项目重复。</w:t>
            </w:r>
          </w:p>
        </w:tc>
        <w:tc>
          <w:tcPr>
            <w:tcW w:w="512" w:type="pct"/>
            <w:shd w:val="clear" w:color="auto" w:fill="FFFFFF"/>
            <w:vAlign w:val="center"/>
          </w:tcPr>
          <w:p w14:paraId="37DD14D7">
            <w:pPr>
              <w:widowControl/>
              <w:spacing w:line="0" w:lineRule="atLeast"/>
              <w:jc w:val="center"/>
              <w:rPr>
                <w:rFonts w:eastAsia="仿宋_GB2312"/>
                <w:b/>
                <w:bCs/>
                <w:color w:val="000000"/>
                <w:kern w:val="0"/>
                <w:sz w:val="18"/>
                <w:szCs w:val="18"/>
              </w:rPr>
            </w:pPr>
            <w:bookmarkStart w:id="28" w:name="OLE_LINK29"/>
            <w:r>
              <w:rPr>
                <w:rFonts w:eastAsia="仿宋_GB2312"/>
                <w:b/>
                <w:bCs/>
                <w:color w:val="000000"/>
                <w:kern w:val="0"/>
                <w:sz w:val="18"/>
                <w:szCs w:val="18"/>
              </w:rPr>
              <w:t>3</w:t>
            </w:r>
            <w:bookmarkEnd w:id="28"/>
          </w:p>
        </w:tc>
        <w:tc>
          <w:tcPr>
            <w:tcW w:w="538" w:type="pct"/>
            <w:shd w:val="clear" w:color="auto" w:fill="FFFFFF"/>
            <w:vAlign w:val="center"/>
          </w:tcPr>
          <w:p w14:paraId="33F464E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r>
      <w:tr w14:paraId="241AAA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522F4406">
            <w:pPr>
              <w:spacing w:line="0" w:lineRule="atLeast"/>
              <w:jc w:val="center"/>
              <w:rPr>
                <w:rFonts w:eastAsia="仿宋_GB2312"/>
                <w:color w:val="000000"/>
                <w:kern w:val="0"/>
                <w:sz w:val="18"/>
                <w:szCs w:val="18"/>
              </w:rPr>
            </w:pPr>
          </w:p>
        </w:tc>
        <w:tc>
          <w:tcPr>
            <w:tcW w:w="394" w:type="pct"/>
            <w:vMerge w:val="continue"/>
            <w:shd w:val="clear" w:color="auto" w:fill="FFFFFF"/>
            <w:vAlign w:val="center"/>
          </w:tcPr>
          <w:p w14:paraId="6C252B73">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45665105">
            <w:pPr>
              <w:widowControl/>
              <w:spacing w:line="0" w:lineRule="atLeast"/>
              <w:jc w:val="center"/>
              <w:rPr>
                <w:rFonts w:eastAsia="仿宋_GB2312"/>
                <w:color w:val="000000"/>
                <w:kern w:val="0"/>
                <w:sz w:val="18"/>
                <w:szCs w:val="18"/>
              </w:rPr>
            </w:pPr>
            <w:r>
              <w:rPr>
                <w:rFonts w:eastAsia="仿宋_GB2312"/>
                <w:color w:val="000000"/>
                <w:kern w:val="0"/>
                <w:sz w:val="18"/>
                <w:szCs w:val="18"/>
              </w:rPr>
              <w:t>立项程序</w:t>
            </w:r>
          </w:p>
          <w:p w14:paraId="39334DA4">
            <w:pPr>
              <w:widowControl/>
              <w:spacing w:line="0" w:lineRule="atLeast"/>
              <w:jc w:val="center"/>
              <w:rPr>
                <w:rFonts w:eastAsia="仿宋_GB2312"/>
                <w:color w:val="000000"/>
                <w:kern w:val="0"/>
                <w:sz w:val="18"/>
                <w:szCs w:val="18"/>
              </w:rPr>
            </w:pPr>
            <w:r>
              <w:rPr>
                <w:rFonts w:eastAsia="仿宋_GB2312"/>
                <w:color w:val="000000"/>
                <w:kern w:val="0"/>
                <w:sz w:val="18"/>
                <w:szCs w:val="18"/>
              </w:rPr>
              <w:t>规范性</w:t>
            </w:r>
          </w:p>
        </w:tc>
        <w:tc>
          <w:tcPr>
            <w:tcW w:w="680" w:type="pct"/>
            <w:shd w:val="clear" w:color="auto" w:fill="FFFFFF"/>
            <w:vAlign w:val="center"/>
          </w:tcPr>
          <w:p w14:paraId="4F9EEAB9">
            <w:pPr>
              <w:widowControl/>
              <w:spacing w:line="0" w:lineRule="atLeast"/>
              <w:rPr>
                <w:rFonts w:eastAsia="仿宋_GB2312"/>
                <w:color w:val="000000"/>
                <w:kern w:val="0"/>
                <w:sz w:val="18"/>
                <w:szCs w:val="18"/>
              </w:rPr>
            </w:pPr>
            <w:r>
              <w:rPr>
                <w:rFonts w:eastAsia="仿宋_GB2312"/>
                <w:color w:val="000000"/>
                <w:kern w:val="0"/>
                <w:sz w:val="18"/>
                <w:szCs w:val="18"/>
              </w:rPr>
              <w:t>项目申请、设立过程是否符合相关要求，用以反映和考核项目立项的规范情况。</w:t>
            </w:r>
          </w:p>
        </w:tc>
        <w:tc>
          <w:tcPr>
            <w:tcW w:w="2055" w:type="pct"/>
            <w:shd w:val="clear" w:color="auto" w:fill="FFFFFF"/>
            <w:vAlign w:val="center"/>
          </w:tcPr>
          <w:p w14:paraId="4AADA48D">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①项目是否按照规定的程序申请设立；</w:t>
            </w:r>
            <w:r>
              <w:rPr>
                <w:rFonts w:eastAsia="仿宋_GB2312"/>
                <w:color w:val="000000"/>
                <w:kern w:val="0"/>
                <w:sz w:val="18"/>
                <w:szCs w:val="18"/>
              </w:rPr>
              <w:br w:type="textWrapping"/>
            </w:r>
            <w:r>
              <w:rPr>
                <w:rFonts w:eastAsia="仿宋_GB2312"/>
                <w:color w:val="000000"/>
                <w:kern w:val="0"/>
                <w:sz w:val="18"/>
                <w:szCs w:val="18"/>
              </w:rPr>
              <w:t>②审批文件、材料是否符合相关要求；</w:t>
            </w:r>
            <w:r>
              <w:rPr>
                <w:rFonts w:eastAsia="仿宋_GB2312"/>
                <w:color w:val="000000"/>
                <w:kern w:val="0"/>
                <w:sz w:val="18"/>
                <w:szCs w:val="18"/>
              </w:rPr>
              <w:br w:type="textWrapping"/>
            </w:r>
            <w:r>
              <w:rPr>
                <w:rFonts w:eastAsia="仿宋_GB2312"/>
                <w:color w:val="000000"/>
                <w:kern w:val="0"/>
                <w:sz w:val="18"/>
                <w:szCs w:val="18"/>
              </w:rPr>
              <w:t>③事前是否已经过必要的可行性研究、专家论证、风险评估、绩效评估、集体决策。</w:t>
            </w:r>
          </w:p>
        </w:tc>
        <w:tc>
          <w:tcPr>
            <w:tcW w:w="512" w:type="pct"/>
            <w:shd w:val="clear" w:color="auto" w:fill="FFFFFF"/>
            <w:vAlign w:val="center"/>
          </w:tcPr>
          <w:p w14:paraId="63A5966C">
            <w:pPr>
              <w:widowControl/>
              <w:spacing w:line="0" w:lineRule="atLeast"/>
              <w:jc w:val="center"/>
              <w:rPr>
                <w:rFonts w:eastAsia="仿宋_GB2312"/>
                <w:b/>
                <w:bCs/>
                <w:color w:val="000000"/>
                <w:kern w:val="0"/>
                <w:sz w:val="18"/>
                <w:szCs w:val="18"/>
              </w:rPr>
            </w:pPr>
            <w:bookmarkStart w:id="29" w:name="OLE_LINK30"/>
            <w:r>
              <w:rPr>
                <w:rFonts w:eastAsia="仿宋_GB2312"/>
                <w:b/>
                <w:bCs/>
                <w:color w:val="000000"/>
                <w:kern w:val="0"/>
                <w:sz w:val="18"/>
                <w:szCs w:val="18"/>
              </w:rPr>
              <w:t>3</w:t>
            </w:r>
            <w:bookmarkEnd w:id="29"/>
          </w:p>
        </w:tc>
        <w:tc>
          <w:tcPr>
            <w:tcW w:w="538" w:type="pct"/>
            <w:shd w:val="clear" w:color="auto" w:fill="FFFFFF"/>
            <w:vAlign w:val="center"/>
          </w:tcPr>
          <w:p w14:paraId="13C2852A">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r>
      <w:tr w14:paraId="4F3B8C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0E7AAADF">
            <w:pPr>
              <w:spacing w:line="0" w:lineRule="atLeast"/>
              <w:jc w:val="center"/>
              <w:rPr>
                <w:rFonts w:eastAsia="仿宋_GB2312"/>
                <w:color w:val="000000"/>
                <w:kern w:val="0"/>
                <w:sz w:val="18"/>
                <w:szCs w:val="18"/>
              </w:rPr>
            </w:pPr>
          </w:p>
        </w:tc>
        <w:tc>
          <w:tcPr>
            <w:tcW w:w="394" w:type="pct"/>
            <w:vMerge w:val="restart"/>
            <w:shd w:val="clear" w:color="auto" w:fill="FFFFFF"/>
            <w:vAlign w:val="center"/>
          </w:tcPr>
          <w:p w14:paraId="58BEE5F5">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　</w:t>
            </w:r>
          </w:p>
        </w:tc>
        <w:tc>
          <w:tcPr>
            <w:tcW w:w="422" w:type="pct"/>
            <w:shd w:val="clear" w:color="auto" w:fill="FFFFFF"/>
            <w:vAlign w:val="center"/>
          </w:tcPr>
          <w:p w14:paraId="3E80098C">
            <w:pPr>
              <w:widowControl/>
              <w:spacing w:line="0" w:lineRule="atLeast"/>
              <w:jc w:val="center"/>
              <w:rPr>
                <w:rFonts w:eastAsia="仿宋_GB2312"/>
                <w:color w:val="000000"/>
                <w:kern w:val="0"/>
                <w:sz w:val="18"/>
                <w:szCs w:val="18"/>
              </w:rPr>
            </w:pPr>
            <w:r>
              <w:rPr>
                <w:rFonts w:eastAsia="仿宋_GB2312"/>
                <w:color w:val="000000"/>
                <w:kern w:val="0"/>
                <w:sz w:val="18"/>
                <w:szCs w:val="18"/>
              </w:rPr>
              <w:t>绩效目标</w:t>
            </w:r>
          </w:p>
          <w:p w14:paraId="2833C9D7">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680" w:type="pct"/>
            <w:shd w:val="clear" w:color="000000" w:fill="FFFFFF"/>
            <w:vAlign w:val="center"/>
          </w:tcPr>
          <w:p w14:paraId="09A05142">
            <w:pPr>
              <w:widowControl/>
              <w:spacing w:line="0" w:lineRule="atLeast"/>
              <w:rPr>
                <w:rFonts w:eastAsia="仿宋_GB2312"/>
                <w:color w:val="000000"/>
                <w:kern w:val="0"/>
                <w:sz w:val="18"/>
                <w:szCs w:val="18"/>
              </w:rPr>
            </w:pPr>
            <w:r>
              <w:rPr>
                <w:rFonts w:eastAsia="仿宋_GB2312"/>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14:paraId="72CCC56F">
            <w:pPr>
              <w:widowControl/>
              <w:spacing w:line="0" w:lineRule="atLeast"/>
              <w:jc w:val="lef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（如未设定预算绩效目标，也可考核其他工作任务目标）</w:t>
            </w:r>
            <w:r>
              <w:rPr>
                <w:rFonts w:eastAsia="仿宋_GB2312"/>
                <w:color w:val="000000"/>
                <w:kern w:val="0"/>
                <w:sz w:val="18"/>
                <w:szCs w:val="18"/>
              </w:rPr>
              <w:br w:type="textWrapping"/>
            </w:r>
            <w:r>
              <w:rPr>
                <w:rFonts w:eastAsia="仿宋_GB2312"/>
                <w:color w:val="000000"/>
                <w:kern w:val="0"/>
                <w:sz w:val="18"/>
                <w:szCs w:val="18"/>
              </w:rPr>
              <w:t>①项目是否有绩效目标；</w:t>
            </w:r>
            <w:r>
              <w:rPr>
                <w:rFonts w:eastAsia="仿宋_GB2312"/>
                <w:color w:val="000000"/>
                <w:kern w:val="0"/>
                <w:sz w:val="18"/>
                <w:szCs w:val="18"/>
              </w:rPr>
              <w:br w:type="textWrapping"/>
            </w:r>
            <w:r>
              <w:rPr>
                <w:rFonts w:eastAsia="仿宋_GB2312"/>
                <w:color w:val="000000"/>
                <w:kern w:val="0"/>
                <w:sz w:val="18"/>
                <w:szCs w:val="18"/>
              </w:rPr>
              <w:t>②项目绩效目标与实际工作内容是否具有相关性；</w:t>
            </w:r>
            <w:r>
              <w:rPr>
                <w:rFonts w:eastAsia="仿宋_GB2312"/>
                <w:color w:val="000000"/>
                <w:kern w:val="0"/>
                <w:sz w:val="18"/>
                <w:szCs w:val="18"/>
              </w:rPr>
              <w:br w:type="textWrapping"/>
            </w:r>
            <w:r>
              <w:rPr>
                <w:rFonts w:eastAsia="仿宋_GB2312"/>
                <w:color w:val="000000"/>
                <w:kern w:val="0"/>
                <w:sz w:val="18"/>
                <w:szCs w:val="18"/>
              </w:rPr>
              <w:t>③项目预期产出效益和效果是否符合正常的业绩水平；</w:t>
            </w:r>
          </w:p>
          <w:p w14:paraId="1E94B328">
            <w:pPr>
              <w:widowControl/>
              <w:spacing w:line="0" w:lineRule="atLeast"/>
              <w:jc w:val="left"/>
              <w:rPr>
                <w:rFonts w:eastAsia="仿宋_GB2312"/>
                <w:color w:val="000000"/>
                <w:kern w:val="0"/>
                <w:sz w:val="18"/>
                <w:szCs w:val="18"/>
              </w:rPr>
            </w:pPr>
            <w:r>
              <w:rPr>
                <w:rFonts w:eastAsia="仿宋_GB2312"/>
                <w:color w:val="000000"/>
                <w:kern w:val="0"/>
                <w:sz w:val="18"/>
                <w:szCs w:val="18"/>
              </w:rPr>
              <w:t>④是否与预算确定的项目投资额或资金量相匹配。</w:t>
            </w:r>
          </w:p>
        </w:tc>
        <w:tc>
          <w:tcPr>
            <w:tcW w:w="512" w:type="pct"/>
            <w:shd w:val="clear" w:color="000000" w:fill="FFFFFF"/>
            <w:vAlign w:val="center"/>
          </w:tcPr>
          <w:p w14:paraId="0E7BAC49">
            <w:pPr>
              <w:widowControl/>
              <w:spacing w:line="0" w:lineRule="atLeast"/>
              <w:jc w:val="center"/>
              <w:rPr>
                <w:rFonts w:eastAsia="仿宋_GB2312"/>
                <w:b/>
                <w:bCs/>
                <w:color w:val="000000"/>
                <w:kern w:val="0"/>
                <w:sz w:val="18"/>
                <w:szCs w:val="18"/>
              </w:rPr>
            </w:pPr>
            <w:bookmarkStart w:id="30" w:name="OLE_LINK31"/>
            <w:r>
              <w:rPr>
                <w:rFonts w:eastAsia="仿宋_GB2312"/>
                <w:b/>
                <w:bCs/>
                <w:color w:val="000000"/>
                <w:kern w:val="0"/>
                <w:sz w:val="18"/>
                <w:szCs w:val="18"/>
              </w:rPr>
              <w:t>3</w:t>
            </w:r>
            <w:bookmarkEnd w:id="30"/>
          </w:p>
        </w:tc>
        <w:tc>
          <w:tcPr>
            <w:tcW w:w="538" w:type="pct"/>
            <w:shd w:val="clear" w:color="000000" w:fill="FFFFFF"/>
            <w:vAlign w:val="center"/>
          </w:tcPr>
          <w:p w14:paraId="4829E4C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r>
      <w:tr w14:paraId="28CB31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14:paraId="329908C6">
            <w:pPr>
              <w:widowControl/>
              <w:spacing w:line="0" w:lineRule="atLeast"/>
              <w:jc w:val="center"/>
              <w:rPr>
                <w:rFonts w:eastAsia="仿宋_GB2312"/>
                <w:color w:val="000000"/>
                <w:kern w:val="0"/>
                <w:sz w:val="18"/>
                <w:szCs w:val="18"/>
              </w:rPr>
            </w:pPr>
          </w:p>
        </w:tc>
        <w:tc>
          <w:tcPr>
            <w:tcW w:w="394" w:type="pct"/>
            <w:vMerge w:val="continue"/>
            <w:shd w:val="clear" w:color="auto" w:fill="FFFFFF"/>
            <w:vAlign w:val="center"/>
          </w:tcPr>
          <w:p w14:paraId="12C31014">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43675140">
            <w:pPr>
              <w:widowControl/>
              <w:spacing w:line="0" w:lineRule="atLeast"/>
              <w:jc w:val="center"/>
              <w:rPr>
                <w:rFonts w:eastAsia="仿宋_GB2312"/>
                <w:color w:val="000000"/>
                <w:kern w:val="0"/>
                <w:sz w:val="18"/>
                <w:szCs w:val="18"/>
              </w:rPr>
            </w:pPr>
            <w:r>
              <w:rPr>
                <w:rFonts w:eastAsia="仿宋_GB2312"/>
                <w:color w:val="000000"/>
                <w:kern w:val="0"/>
                <w:sz w:val="18"/>
                <w:szCs w:val="18"/>
              </w:rPr>
              <w:t>绩效指标</w:t>
            </w:r>
          </w:p>
          <w:p w14:paraId="01023A18">
            <w:pPr>
              <w:widowControl/>
              <w:spacing w:line="0" w:lineRule="atLeast"/>
              <w:jc w:val="center"/>
              <w:rPr>
                <w:rFonts w:eastAsia="仿宋_GB2312"/>
                <w:color w:val="000000"/>
                <w:kern w:val="0"/>
                <w:sz w:val="18"/>
                <w:szCs w:val="18"/>
              </w:rPr>
            </w:pPr>
            <w:r>
              <w:rPr>
                <w:rFonts w:eastAsia="仿宋_GB2312"/>
                <w:color w:val="000000"/>
                <w:kern w:val="0"/>
                <w:sz w:val="18"/>
                <w:szCs w:val="18"/>
              </w:rPr>
              <w:t>明确性</w:t>
            </w:r>
          </w:p>
        </w:tc>
        <w:tc>
          <w:tcPr>
            <w:tcW w:w="680" w:type="pct"/>
            <w:shd w:val="clear" w:color="000000" w:fill="FFFFFF"/>
            <w:vAlign w:val="center"/>
          </w:tcPr>
          <w:p w14:paraId="5BD1E45E">
            <w:pPr>
              <w:widowControl/>
              <w:spacing w:line="0" w:lineRule="atLeast"/>
              <w:rPr>
                <w:rFonts w:eastAsia="仿宋_GB2312"/>
                <w:color w:val="000000"/>
                <w:kern w:val="0"/>
                <w:sz w:val="18"/>
                <w:szCs w:val="18"/>
              </w:rPr>
            </w:pPr>
            <w:r>
              <w:rPr>
                <w:rFonts w:eastAsia="仿宋_GB2312"/>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14:paraId="16F0C09D">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①是否将项目绩效目标细化分解为具体的绩效指标；</w:t>
            </w:r>
            <w:r>
              <w:rPr>
                <w:rFonts w:eastAsia="仿宋_GB2312"/>
                <w:color w:val="000000"/>
                <w:kern w:val="0"/>
                <w:sz w:val="18"/>
                <w:szCs w:val="18"/>
              </w:rPr>
              <w:br w:type="textWrapping"/>
            </w:r>
            <w:r>
              <w:rPr>
                <w:rFonts w:eastAsia="仿宋_GB2312"/>
                <w:color w:val="000000"/>
                <w:kern w:val="0"/>
                <w:sz w:val="18"/>
                <w:szCs w:val="18"/>
              </w:rPr>
              <w:t>②是否通过清晰、可衡量的指标值予以体现；</w:t>
            </w:r>
            <w:r>
              <w:rPr>
                <w:rFonts w:eastAsia="仿宋_GB2312"/>
                <w:color w:val="000000"/>
                <w:kern w:val="0"/>
                <w:sz w:val="18"/>
                <w:szCs w:val="18"/>
              </w:rPr>
              <w:br w:type="textWrapping"/>
            </w:r>
            <w:r>
              <w:rPr>
                <w:rFonts w:eastAsia="仿宋_GB2312"/>
                <w:color w:val="000000"/>
                <w:kern w:val="0"/>
                <w:sz w:val="18"/>
                <w:szCs w:val="18"/>
              </w:rPr>
              <w:t>③是否与项目目标任务数或计划数相对应。</w:t>
            </w:r>
            <w:r>
              <w:rPr>
                <w:rFonts w:eastAsia="仿宋_GB2312"/>
                <w:color w:val="000000"/>
                <w:kern w:val="0"/>
                <w:sz w:val="18"/>
                <w:szCs w:val="18"/>
              </w:rPr>
              <w:br w:type="textWrapping"/>
            </w:r>
          </w:p>
        </w:tc>
        <w:tc>
          <w:tcPr>
            <w:tcW w:w="512" w:type="pct"/>
            <w:shd w:val="clear" w:color="000000" w:fill="FFFFFF"/>
            <w:vAlign w:val="center"/>
          </w:tcPr>
          <w:p w14:paraId="40739E8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c>
          <w:tcPr>
            <w:tcW w:w="538" w:type="pct"/>
            <w:shd w:val="clear" w:color="000000" w:fill="FFFFFF"/>
            <w:vAlign w:val="center"/>
          </w:tcPr>
          <w:p w14:paraId="2F20126E">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3</w:t>
            </w:r>
          </w:p>
        </w:tc>
      </w:tr>
      <w:tr w14:paraId="4117A9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14:paraId="053F6992">
            <w:pPr>
              <w:spacing w:line="0" w:lineRule="atLeast"/>
              <w:jc w:val="center"/>
              <w:rPr>
                <w:rFonts w:eastAsia="仿宋_GB2312"/>
                <w:color w:val="000000"/>
                <w:kern w:val="0"/>
                <w:sz w:val="18"/>
                <w:szCs w:val="18"/>
              </w:rPr>
            </w:pPr>
          </w:p>
        </w:tc>
        <w:tc>
          <w:tcPr>
            <w:tcW w:w="394" w:type="pct"/>
            <w:vMerge w:val="restart"/>
            <w:shd w:val="clear" w:color="auto" w:fill="FFFFFF"/>
            <w:vAlign w:val="center"/>
          </w:tcPr>
          <w:p w14:paraId="6EBA5884">
            <w:pPr>
              <w:widowControl/>
              <w:spacing w:line="0" w:lineRule="atLeast"/>
              <w:jc w:val="center"/>
              <w:rPr>
                <w:rFonts w:eastAsia="仿宋_GB2312"/>
                <w:color w:val="000000"/>
                <w:kern w:val="0"/>
                <w:sz w:val="18"/>
                <w:szCs w:val="18"/>
              </w:rPr>
            </w:pPr>
            <w:r>
              <w:rPr>
                <w:rFonts w:eastAsia="仿宋_GB2312"/>
                <w:color w:val="000000"/>
                <w:kern w:val="0"/>
                <w:sz w:val="18"/>
                <w:szCs w:val="18"/>
              </w:rPr>
              <w:t>资金投入</w:t>
            </w:r>
          </w:p>
          <w:p w14:paraId="729CE13A">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422" w:type="pct"/>
            <w:shd w:val="clear" w:color="auto" w:fill="FFFFFF"/>
            <w:vAlign w:val="center"/>
          </w:tcPr>
          <w:p w14:paraId="49A78D6A">
            <w:pPr>
              <w:widowControl/>
              <w:spacing w:line="0" w:lineRule="atLeast"/>
              <w:jc w:val="center"/>
              <w:rPr>
                <w:rFonts w:eastAsia="仿宋_GB2312"/>
                <w:color w:val="000000"/>
                <w:kern w:val="0"/>
                <w:sz w:val="18"/>
                <w:szCs w:val="18"/>
              </w:rPr>
            </w:pPr>
            <w:r>
              <w:rPr>
                <w:rFonts w:eastAsia="仿宋_GB2312"/>
                <w:color w:val="000000"/>
                <w:kern w:val="0"/>
                <w:sz w:val="18"/>
                <w:szCs w:val="18"/>
              </w:rPr>
              <w:t>预算编制</w:t>
            </w:r>
          </w:p>
          <w:p w14:paraId="7AB4D265">
            <w:pPr>
              <w:widowControl/>
              <w:spacing w:line="0" w:lineRule="atLeast"/>
              <w:jc w:val="center"/>
              <w:rPr>
                <w:rFonts w:eastAsia="仿宋_GB2312"/>
                <w:color w:val="000000"/>
                <w:kern w:val="0"/>
                <w:sz w:val="18"/>
                <w:szCs w:val="18"/>
              </w:rPr>
            </w:pPr>
            <w:r>
              <w:rPr>
                <w:rFonts w:eastAsia="仿宋_GB2312"/>
                <w:color w:val="000000"/>
                <w:kern w:val="0"/>
                <w:sz w:val="18"/>
                <w:szCs w:val="18"/>
              </w:rPr>
              <w:t>科学性</w:t>
            </w:r>
          </w:p>
        </w:tc>
        <w:tc>
          <w:tcPr>
            <w:tcW w:w="680" w:type="pct"/>
            <w:shd w:val="clear" w:color="auto" w:fill="FFFFFF"/>
            <w:vAlign w:val="center"/>
          </w:tcPr>
          <w:p w14:paraId="1D43E55A">
            <w:pPr>
              <w:widowControl/>
              <w:spacing w:line="0" w:lineRule="atLeast"/>
              <w:rPr>
                <w:rFonts w:eastAsia="仿宋_GB2312"/>
                <w:color w:val="000000"/>
                <w:kern w:val="0"/>
                <w:sz w:val="18"/>
                <w:szCs w:val="18"/>
              </w:rPr>
            </w:pPr>
            <w:r>
              <w:rPr>
                <w:rFonts w:eastAsia="仿宋_GB2312"/>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14:paraId="2A0D0251">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①预算编制是否经过科学论证；</w:t>
            </w:r>
            <w:r>
              <w:rPr>
                <w:rFonts w:eastAsia="仿宋_GB2312"/>
                <w:color w:val="000000"/>
                <w:kern w:val="0"/>
                <w:sz w:val="18"/>
                <w:szCs w:val="18"/>
              </w:rPr>
              <w:br w:type="textWrapping"/>
            </w:r>
            <w:r>
              <w:rPr>
                <w:rFonts w:eastAsia="仿宋_GB2312"/>
                <w:color w:val="000000"/>
                <w:kern w:val="0"/>
                <w:sz w:val="18"/>
                <w:szCs w:val="18"/>
              </w:rPr>
              <w:t>②预算内容与项目内容是否匹配；</w:t>
            </w:r>
            <w:r>
              <w:rPr>
                <w:rFonts w:eastAsia="仿宋_GB2312"/>
                <w:color w:val="000000"/>
                <w:kern w:val="0"/>
                <w:sz w:val="18"/>
                <w:szCs w:val="18"/>
              </w:rPr>
              <w:br w:type="textWrapping"/>
            </w:r>
            <w:r>
              <w:rPr>
                <w:rFonts w:eastAsia="仿宋_GB2312"/>
                <w:color w:val="000000"/>
                <w:kern w:val="0"/>
                <w:sz w:val="18"/>
                <w:szCs w:val="18"/>
              </w:rPr>
              <w:t>③预算额度测算依据是否充分，是否按照标准编制；</w:t>
            </w:r>
            <w:r>
              <w:rPr>
                <w:rFonts w:eastAsia="仿宋_GB2312"/>
                <w:color w:val="000000"/>
                <w:kern w:val="0"/>
                <w:sz w:val="18"/>
                <w:szCs w:val="18"/>
              </w:rPr>
              <w:br w:type="textWrapping"/>
            </w:r>
            <w:r>
              <w:rPr>
                <w:rFonts w:eastAsia="仿宋_GB2312"/>
                <w:color w:val="000000"/>
                <w:kern w:val="0"/>
                <w:sz w:val="18"/>
                <w:szCs w:val="18"/>
              </w:rPr>
              <w:t>④预算确定的项目投资额或资金量是否与工作任务相匹配。</w:t>
            </w:r>
          </w:p>
        </w:tc>
        <w:tc>
          <w:tcPr>
            <w:tcW w:w="512" w:type="pct"/>
            <w:shd w:val="clear" w:color="auto" w:fill="FFFFFF"/>
            <w:vAlign w:val="center"/>
          </w:tcPr>
          <w:p w14:paraId="7993A99C">
            <w:pPr>
              <w:widowControl/>
              <w:spacing w:line="0" w:lineRule="atLeast"/>
              <w:jc w:val="center"/>
              <w:rPr>
                <w:rFonts w:eastAsia="仿宋_GB2312"/>
                <w:b/>
                <w:bCs/>
                <w:color w:val="000000"/>
                <w:kern w:val="0"/>
                <w:sz w:val="18"/>
                <w:szCs w:val="18"/>
              </w:rPr>
            </w:pPr>
            <w:bookmarkStart w:id="31" w:name="OLE_LINK32"/>
            <w:r>
              <w:rPr>
                <w:rFonts w:eastAsia="仿宋_GB2312"/>
                <w:b/>
                <w:bCs/>
                <w:color w:val="000000"/>
                <w:kern w:val="0"/>
                <w:sz w:val="18"/>
                <w:szCs w:val="18"/>
              </w:rPr>
              <w:t>4</w:t>
            </w:r>
            <w:bookmarkEnd w:id="31"/>
          </w:p>
        </w:tc>
        <w:tc>
          <w:tcPr>
            <w:tcW w:w="538" w:type="pct"/>
            <w:shd w:val="clear" w:color="auto" w:fill="FFFFFF"/>
            <w:vAlign w:val="center"/>
          </w:tcPr>
          <w:p w14:paraId="4147D9ED">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14:paraId="40C1CC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14:paraId="4FBB2DC7">
            <w:pPr>
              <w:widowControl/>
              <w:spacing w:line="0" w:lineRule="atLeast"/>
              <w:jc w:val="center"/>
              <w:rPr>
                <w:rFonts w:eastAsia="仿宋_GB2312"/>
                <w:color w:val="000000"/>
                <w:kern w:val="0"/>
                <w:sz w:val="18"/>
                <w:szCs w:val="18"/>
              </w:rPr>
            </w:pPr>
          </w:p>
        </w:tc>
        <w:tc>
          <w:tcPr>
            <w:tcW w:w="394" w:type="pct"/>
            <w:vMerge w:val="continue"/>
            <w:shd w:val="clear" w:color="auto" w:fill="FFFFFF"/>
            <w:vAlign w:val="center"/>
          </w:tcPr>
          <w:p w14:paraId="1E913DFB">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66FE0534">
            <w:pPr>
              <w:widowControl/>
              <w:spacing w:line="0" w:lineRule="atLeast"/>
              <w:jc w:val="center"/>
              <w:rPr>
                <w:rFonts w:eastAsia="仿宋_GB2312"/>
                <w:color w:val="000000"/>
                <w:kern w:val="0"/>
                <w:sz w:val="18"/>
                <w:szCs w:val="18"/>
              </w:rPr>
            </w:pPr>
            <w:r>
              <w:rPr>
                <w:rFonts w:eastAsia="仿宋_GB2312"/>
                <w:color w:val="000000"/>
                <w:kern w:val="0"/>
                <w:sz w:val="18"/>
                <w:szCs w:val="18"/>
              </w:rPr>
              <w:t>资金分配</w:t>
            </w:r>
          </w:p>
          <w:p w14:paraId="462D6C4A">
            <w:pPr>
              <w:widowControl/>
              <w:spacing w:line="0" w:lineRule="atLeast"/>
              <w:jc w:val="center"/>
              <w:rPr>
                <w:rFonts w:eastAsia="仿宋_GB2312"/>
                <w:color w:val="000000"/>
                <w:kern w:val="0"/>
                <w:sz w:val="18"/>
                <w:szCs w:val="18"/>
              </w:rPr>
            </w:pPr>
            <w:r>
              <w:rPr>
                <w:rFonts w:eastAsia="仿宋_GB2312"/>
                <w:color w:val="000000"/>
                <w:kern w:val="0"/>
                <w:sz w:val="18"/>
                <w:szCs w:val="18"/>
              </w:rPr>
              <w:t>合理性</w:t>
            </w:r>
          </w:p>
        </w:tc>
        <w:tc>
          <w:tcPr>
            <w:tcW w:w="680" w:type="pct"/>
            <w:shd w:val="clear" w:color="auto" w:fill="FFFFFF"/>
            <w:vAlign w:val="center"/>
          </w:tcPr>
          <w:p w14:paraId="236F7127">
            <w:pPr>
              <w:widowControl/>
              <w:spacing w:line="0" w:lineRule="atLeast"/>
              <w:rPr>
                <w:rFonts w:eastAsia="仿宋_GB2312"/>
                <w:color w:val="000000"/>
                <w:kern w:val="0"/>
                <w:sz w:val="18"/>
                <w:szCs w:val="18"/>
              </w:rPr>
            </w:pPr>
            <w:r>
              <w:rPr>
                <w:rFonts w:eastAsia="仿宋_GB2312"/>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14:paraId="29F53A02">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①预算资金分配依据是否充分；</w:t>
            </w:r>
            <w:r>
              <w:rPr>
                <w:rFonts w:eastAsia="仿宋_GB2312"/>
                <w:color w:val="000000"/>
                <w:kern w:val="0"/>
                <w:sz w:val="18"/>
                <w:szCs w:val="18"/>
              </w:rPr>
              <w:br w:type="textWrapping"/>
            </w:r>
            <w:r>
              <w:rPr>
                <w:rFonts w:eastAsia="仿宋_GB2312"/>
                <w:color w:val="000000"/>
                <w:kern w:val="0"/>
                <w:sz w:val="18"/>
                <w:szCs w:val="18"/>
              </w:rPr>
              <w:t>②资金分配额度是否合理，与项目单位或地方实际是否相适应。</w:t>
            </w:r>
          </w:p>
        </w:tc>
        <w:tc>
          <w:tcPr>
            <w:tcW w:w="512" w:type="pct"/>
            <w:shd w:val="clear" w:color="auto" w:fill="FFFFFF"/>
            <w:vAlign w:val="center"/>
          </w:tcPr>
          <w:p w14:paraId="502C4779">
            <w:pPr>
              <w:widowControl/>
              <w:spacing w:line="0" w:lineRule="atLeast"/>
              <w:jc w:val="center"/>
              <w:rPr>
                <w:rFonts w:eastAsia="仿宋_GB2312"/>
                <w:b/>
                <w:bCs/>
                <w:color w:val="000000"/>
                <w:kern w:val="0"/>
                <w:sz w:val="18"/>
                <w:szCs w:val="18"/>
              </w:rPr>
            </w:pPr>
            <w:bookmarkStart w:id="32" w:name="OLE_LINK33"/>
            <w:r>
              <w:rPr>
                <w:rFonts w:eastAsia="仿宋_GB2312"/>
                <w:b/>
                <w:bCs/>
                <w:color w:val="000000"/>
                <w:kern w:val="0"/>
                <w:sz w:val="18"/>
                <w:szCs w:val="18"/>
              </w:rPr>
              <w:t>4</w:t>
            </w:r>
            <w:bookmarkEnd w:id="32"/>
          </w:p>
        </w:tc>
        <w:tc>
          <w:tcPr>
            <w:tcW w:w="538" w:type="pct"/>
            <w:shd w:val="clear" w:color="auto" w:fill="FFFFFF"/>
            <w:vAlign w:val="center"/>
          </w:tcPr>
          <w:p w14:paraId="1DF3F1C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14:paraId="255FF1C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14:paraId="16C2FC80">
            <w:pPr>
              <w:spacing w:line="0" w:lineRule="atLeast"/>
              <w:jc w:val="center"/>
              <w:rPr>
                <w:rFonts w:eastAsia="仿宋_GB2312"/>
                <w:color w:val="000000"/>
                <w:kern w:val="0"/>
                <w:sz w:val="18"/>
                <w:szCs w:val="18"/>
              </w:rPr>
            </w:pPr>
          </w:p>
          <w:p w14:paraId="67A4D0AC">
            <w:pPr>
              <w:spacing w:line="0" w:lineRule="atLeast"/>
              <w:jc w:val="center"/>
              <w:rPr>
                <w:rFonts w:eastAsia="仿宋_GB2312"/>
                <w:color w:val="000000"/>
                <w:kern w:val="0"/>
                <w:sz w:val="18"/>
                <w:szCs w:val="18"/>
              </w:rPr>
            </w:pPr>
          </w:p>
          <w:p w14:paraId="467AA914">
            <w:pPr>
              <w:spacing w:line="0" w:lineRule="atLeast"/>
              <w:jc w:val="center"/>
              <w:rPr>
                <w:rFonts w:eastAsia="仿宋_GB2312"/>
                <w:color w:val="000000"/>
                <w:kern w:val="0"/>
                <w:sz w:val="18"/>
                <w:szCs w:val="18"/>
              </w:rPr>
            </w:pPr>
          </w:p>
          <w:p w14:paraId="6203D341">
            <w:pPr>
              <w:spacing w:line="0" w:lineRule="atLeast"/>
              <w:jc w:val="center"/>
              <w:rPr>
                <w:rFonts w:eastAsia="仿宋_GB2312"/>
                <w:color w:val="000000"/>
                <w:kern w:val="0"/>
                <w:sz w:val="18"/>
                <w:szCs w:val="18"/>
              </w:rPr>
            </w:pPr>
          </w:p>
          <w:p w14:paraId="281B5ADE">
            <w:pPr>
              <w:spacing w:line="0" w:lineRule="atLeast"/>
              <w:jc w:val="center"/>
              <w:rPr>
                <w:rFonts w:eastAsia="仿宋_GB2312"/>
                <w:color w:val="000000"/>
                <w:kern w:val="0"/>
                <w:sz w:val="18"/>
                <w:szCs w:val="18"/>
              </w:rPr>
            </w:pPr>
          </w:p>
          <w:p w14:paraId="1D227DA2">
            <w:pPr>
              <w:spacing w:line="0" w:lineRule="atLeast"/>
              <w:jc w:val="center"/>
              <w:rPr>
                <w:rFonts w:eastAsia="仿宋_GB2312"/>
                <w:color w:val="000000"/>
                <w:kern w:val="0"/>
                <w:sz w:val="18"/>
                <w:szCs w:val="18"/>
              </w:rPr>
            </w:pPr>
          </w:p>
          <w:p w14:paraId="15D1AD2B">
            <w:pPr>
              <w:spacing w:line="0" w:lineRule="atLeast"/>
              <w:jc w:val="center"/>
              <w:rPr>
                <w:rFonts w:eastAsia="仿宋_GB2312"/>
                <w:color w:val="000000"/>
                <w:kern w:val="0"/>
                <w:sz w:val="18"/>
                <w:szCs w:val="18"/>
              </w:rPr>
            </w:pPr>
          </w:p>
          <w:p w14:paraId="7CC8CB4D">
            <w:pPr>
              <w:spacing w:line="0" w:lineRule="atLeast"/>
              <w:jc w:val="center"/>
              <w:rPr>
                <w:rFonts w:eastAsia="仿宋_GB2312"/>
                <w:color w:val="000000"/>
                <w:kern w:val="0"/>
                <w:sz w:val="18"/>
                <w:szCs w:val="18"/>
              </w:rPr>
            </w:pPr>
          </w:p>
          <w:p w14:paraId="3313169A">
            <w:pPr>
              <w:spacing w:line="0" w:lineRule="atLeast"/>
              <w:jc w:val="center"/>
              <w:rPr>
                <w:rFonts w:eastAsia="仿宋_GB2312"/>
                <w:color w:val="000000"/>
                <w:kern w:val="0"/>
                <w:sz w:val="18"/>
                <w:szCs w:val="18"/>
              </w:rPr>
            </w:pPr>
          </w:p>
          <w:p w14:paraId="05C4A5D0">
            <w:pPr>
              <w:spacing w:line="0" w:lineRule="atLeast"/>
              <w:jc w:val="center"/>
              <w:rPr>
                <w:rFonts w:eastAsia="仿宋_GB2312"/>
                <w:color w:val="000000"/>
                <w:kern w:val="0"/>
                <w:sz w:val="18"/>
                <w:szCs w:val="18"/>
              </w:rPr>
            </w:pPr>
          </w:p>
          <w:p w14:paraId="5EBD795F">
            <w:pPr>
              <w:spacing w:line="0" w:lineRule="atLeast"/>
              <w:jc w:val="center"/>
              <w:rPr>
                <w:rFonts w:eastAsia="仿宋_GB2312"/>
                <w:color w:val="000000"/>
                <w:kern w:val="0"/>
                <w:sz w:val="18"/>
                <w:szCs w:val="18"/>
              </w:rPr>
            </w:pPr>
          </w:p>
          <w:p w14:paraId="6F7D8F7B">
            <w:pPr>
              <w:spacing w:line="0" w:lineRule="atLeast"/>
              <w:jc w:val="center"/>
              <w:rPr>
                <w:rFonts w:eastAsia="仿宋_GB2312"/>
                <w:color w:val="000000"/>
                <w:kern w:val="0"/>
                <w:sz w:val="18"/>
                <w:szCs w:val="18"/>
              </w:rPr>
            </w:pPr>
          </w:p>
          <w:p w14:paraId="71EA110B">
            <w:pPr>
              <w:spacing w:line="0" w:lineRule="atLeast"/>
              <w:jc w:val="center"/>
              <w:rPr>
                <w:rFonts w:eastAsia="仿宋_GB2312"/>
                <w:color w:val="000000"/>
                <w:kern w:val="0"/>
                <w:sz w:val="18"/>
                <w:szCs w:val="18"/>
              </w:rPr>
            </w:pPr>
          </w:p>
          <w:p w14:paraId="52490D60">
            <w:pPr>
              <w:spacing w:line="0" w:lineRule="atLeast"/>
              <w:jc w:val="center"/>
              <w:rPr>
                <w:rFonts w:eastAsia="仿宋_GB2312"/>
                <w:color w:val="000000"/>
                <w:kern w:val="0"/>
                <w:sz w:val="18"/>
                <w:szCs w:val="18"/>
              </w:rPr>
            </w:pPr>
          </w:p>
          <w:p w14:paraId="7696BF7B">
            <w:pPr>
              <w:spacing w:line="0" w:lineRule="atLeast"/>
              <w:jc w:val="center"/>
              <w:rPr>
                <w:rFonts w:eastAsia="仿宋_GB2312"/>
                <w:color w:val="000000"/>
                <w:kern w:val="0"/>
                <w:sz w:val="18"/>
                <w:szCs w:val="18"/>
              </w:rPr>
            </w:pPr>
          </w:p>
          <w:p w14:paraId="32280592">
            <w:pPr>
              <w:spacing w:line="0" w:lineRule="atLeast"/>
              <w:jc w:val="center"/>
              <w:rPr>
                <w:rFonts w:eastAsia="仿宋_GB2312"/>
                <w:color w:val="000000"/>
                <w:kern w:val="0"/>
                <w:sz w:val="18"/>
                <w:szCs w:val="18"/>
              </w:rPr>
            </w:pPr>
            <w:r>
              <w:rPr>
                <w:rFonts w:eastAsia="仿宋_GB2312"/>
                <w:color w:val="000000"/>
                <w:kern w:val="0"/>
                <w:sz w:val="18"/>
                <w:szCs w:val="18"/>
              </w:rPr>
              <w:t>过程</w:t>
            </w:r>
          </w:p>
          <w:p w14:paraId="18994F1F">
            <w:pPr>
              <w:widowControl/>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394" w:type="pct"/>
            <w:vMerge w:val="restart"/>
            <w:shd w:val="clear" w:color="auto" w:fill="FFFFFF"/>
            <w:vAlign w:val="center"/>
          </w:tcPr>
          <w:p w14:paraId="6881032D">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422" w:type="pct"/>
            <w:shd w:val="clear" w:color="auto" w:fill="FFFFFF"/>
            <w:vAlign w:val="center"/>
          </w:tcPr>
          <w:p w14:paraId="39FD5401">
            <w:pPr>
              <w:widowControl/>
              <w:spacing w:line="0" w:lineRule="atLeast"/>
              <w:jc w:val="center"/>
              <w:rPr>
                <w:rFonts w:eastAsia="仿宋_GB2312"/>
                <w:color w:val="000000"/>
                <w:kern w:val="0"/>
                <w:sz w:val="18"/>
                <w:szCs w:val="18"/>
              </w:rPr>
            </w:pPr>
            <w:r>
              <w:rPr>
                <w:rFonts w:eastAsia="仿宋_GB2312"/>
                <w:color w:val="000000"/>
                <w:kern w:val="0"/>
                <w:sz w:val="18"/>
                <w:szCs w:val="18"/>
              </w:rPr>
              <w:t>资金到位率</w:t>
            </w:r>
          </w:p>
        </w:tc>
        <w:tc>
          <w:tcPr>
            <w:tcW w:w="680" w:type="pct"/>
            <w:shd w:val="clear" w:color="000000" w:fill="FFFFFF"/>
            <w:vAlign w:val="center"/>
          </w:tcPr>
          <w:p w14:paraId="03AD86F9">
            <w:pPr>
              <w:widowControl/>
              <w:spacing w:line="0" w:lineRule="atLeast"/>
              <w:rPr>
                <w:rFonts w:eastAsia="仿宋_GB2312"/>
                <w:color w:val="000000"/>
                <w:kern w:val="0"/>
                <w:sz w:val="18"/>
                <w:szCs w:val="18"/>
              </w:rPr>
            </w:pPr>
            <w:r>
              <w:rPr>
                <w:rFonts w:eastAsia="仿宋_GB2312"/>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14:paraId="29BD18EB">
            <w:pPr>
              <w:widowControl/>
              <w:spacing w:line="0" w:lineRule="atLeast"/>
              <w:rPr>
                <w:rFonts w:eastAsia="仿宋_GB2312"/>
                <w:color w:val="000000"/>
                <w:kern w:val="0"/>
                <w:sz w:val="18"/>
                <w:szCs w:val="18"/>
              </w:rPr>
            </w:pPr>
            <w:r>
              <w:rPr>
                <w:rFonts w:eastAsia="仿宋_GB2312"/>
                <w:color w:val="000000"/>
                <w:kern w:val="0"/>
                <w:sz w:val="18"/>
                <w:szCs w:val="18"/>
              </w:rPr>
              <w:t>资金到位率=（实际到位资金/预算资金）×100%。</w:t>
            </w:r>
          </w:p>
          <w:p w14:paraId="2573AC89">
            <w:pPr>
              <w:widowControl/>
              <w:spacing w:line="0" w:lineRule="atLeast"/>
              <w:rPr>
                <w:rFonts w:eastAsia="仿宋_GB2312"/>
                <w:color w:val="000000"/>
                <w:kern w:val="0"/>
                <w:sz w:val="18"/>
                <w:szCs w:val="18"/>
              </w:rPr>
            </w:pPr>
            <w:r>
              <w:rPr>
                <w:rFonts w:eastAsia="仿宋_GB2312"/>
                <w:color w:val="000000"/>
                <w:kern w:val="0"/>
                <w:sz w:val="18"/>
                <w:szCs w:val="18"/>
              </w:rPr>
              <w:t>实际到位资金：一定时期（本年度或项目期）内落实到具体项目的资金。</w:t>
            </w:r>
          </w:p>
          <w:p w14:paraId="62F19D9D">
            <w:pPr>
              <w:widowControl/>
              <w:spacing w:line="0" w:lineRule="atLeast"/>
              <w:rPr>
                <w:rFonts w:eastAsia="仿宋_GB2312"/>
                <w:color w:val="000000"/>
                <w:kern w:val="0"/>
                <w:sz w:val="18"/>
                <w:szCs w:val="18"/>
              </w:rPr>
            </w:pPr>
            <w:r>
              <w:rPr>
                <w:rFonts w:eastAsia="仿宋_GB2312"/>
                <w:color w:val="000000"/>
                <w:kern w:val="0"/>
                <w:sz w:val="18"/>
                <w:szCs w:val="18"/>
              </w:rPr>
              <w:t>预算资金：一定时期（本年度或项目期）内预算安排到具体项目的资金。</w:t>
            </w:r>
          </w:p>
        </w:tc>
        <w:tc>
          <w:tcPr>
            <w:tcW w:w="512" w:type="pct"/>
            <w:shd w:val="clear" w:color="000000" w:fill="FFFFFF"/>
            <w:vAlign w:val="center"/>
          </w:tcPr>
          <w:p w14:paraId="4F867955">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vAlign w:val="center"/>
          </w:tcPr>
          <w:p w14:paraId="27730F5F">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14:paraId="0309C2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14:paraId="2EAD0628">
            <w:pPr>
              <w:spacing w:line="0" w:lineRule="atLeast"/>
              <w:jc w:val="center"/>
              <w:rPr>
                <w:rFonts w:eastAsia="仿宋_GB2312"/>
                <w:color w:val="000000"/>
                <w:kern w:val="0"/>
                <w:sz w:val="18"/>
                <w:szCs w:val="18"/>
              </w:rPr>
            </w:pPr>
          </w:p>
        </w:tc>
        <w:tc>
          <w:tcPr>
            <w:tcW w:w="394" w:type="pct"/>
            <w:vMerge w:val="continue"/>
            <w:shd w:val="clear" w:color="auto" w:fill="FFFFFF"/>
            <w:vAlign w:val="center"/>
          </w:tcPr>
          <w:p w14:paraId="24C724C5">
            <w:pPr>
              <w:spacing w:line="0" w:lineRule="atLeast"/>
              <w:jc w:val="center"/>
              <w:rPr>
                <w:rFonts w:eastAsia="仿宋_GB2312"/>
                <w:color w:val="000000"/>
                <w:kern w:val="0"/>
                <w:sz w:val="18"/>
                <w:szCs w:val="18"/>
              </w:rPr>
            </w:pPr>
          </w:p>
        </w:tc>
        <w:tc>
          <w:tcPr>
            <w:tcW w:w="422" w:type="pct"/>
            <w:shd w:val="clear" w:color="auto" w:fill="FFFFFF"/>
            <w:vAlign w:val="center"/>
          </w:tcPr>
          <w:p w14:paraId="3848AC06">
            <w:pPr>
              <w:widowControl/>
              <w:spacing w:line="0" w:lineRule="atLeast"/>
              <w:jc w:val="center"/>
              <w:rPr>
                <w:rFonts w:eastAsia="仿宋_GB2312"/>
                <w:color w:val="000000"/>
                <w:kern w:val="0"/>
                <w:sz w:val="18"/>
                <w:szCs w:val="18"/>
              </w:rPr>
            </w:pPr>
            <w:r>
              <w:rPr>
                <w:rFonts w:eastAsia="仿宋_GB2312"/>
                <w:color w:val="000000"/>
                <w:kern w:val="0"/>
                <w:sz w:val="18"/>
                <w:szCs w:val="18"/>
              </w:rPr>
              <w:t>预算执行率</w:t>
            </w:r>
          </w:p>
        </w:tc>
        <w:tc>
          <w:tcPr>
            <w:tcW w:w="680" w:type="pct"/>
            <w:shd w:val="clear" w:color="auto" w:fill="FFFFFF"/>
            <w:vAlign w:val="center"/>
          </w:tcPr>
          <w:p w14:paraId="33A44373">
            <w:pPr>
              <w:widowControl/>
              <w:spacing w:line="0" w:lineRule="atLeast"/>
              <w:rPr>
                <w:rFonts w:eastAsia="仿宋_GB2312"/>
                <w:color w:val="000000"/>
                <w:kern w:val="0"/>
                <w:sz w:val="18"/>
                <w:szCs w:val="18"/>
              </w:rPr>
            </w:pPr>
            <w:r>
              <w:rPr>
                <w:rFonts w:eastAsia="仿宋_GB2312"/>
                <w:color w:val="000000"/>
                <w:kern w:val="0"/>
                <w:sz w:val="18"/>
                <w:szCs w:val="18"/>
              </w:rPr>
              <w:t>项目预算资金是否按照计划执行，用以反映或考核项目预算执行情况。</w:t>
            </w:r>
          </w:p>
        </w:tc>
        <w:tc>
          <w:tcPr>
            <w:tcW w:w="2055" w:type="pct"/>
            <w:shd w:val="clear" w:color="auto" w:fill="FFFFFF"/>
            <w:vAlign w:val="center"/>
          </w:tcPr>
          <w:p w14:paraId="6EBE6029">
            <w:pPr>
              <w:widowControl/>
              <w:spacing w:line="0" w:lineRule="atLeast"/>
              <w:rPr>
                <w:rFonts w:eastAsia="仿宋_GB2312"/>
                <w:color w:val="000000"/>
                <w:kern w:val="0"/>
                <w:sz w:val="18"/>
                <w:szCs w:val="18"/>
              </w:rPr>
            </w:pPr>
            <w:r>
              <w:rPr>
                <w:rFonts w:eastAsia="仿宋_GB2312"/>
                <w:color w:val="000000"/>
                <w:kern w:val="0"/>
                <w:sz w:val="18"/>
                <w:szCs w:val="18"/>
              </w:rPr>
              <w:t>预算执行率=（实际支出资金/实际到位资金）×100%。</w:t>
            </w:r>
            <w:r>
              <w:rPr>
                <w:rFonts w:eastAsia="仿宋_GB2312"/>
                <w:color w:val="000000"/>
                <w:kern w:val="0"/>
                <w:sz w:val="18"/>
                <w:szCs w:val="18"/>
              </w:rPr>
              <w:br w:type="textWrapping"/>
            </w:r>
            <w:r>
              <w:rPr>
                <w:rFonts w:eastAsia="仿宋_GB2312"/>
                <w:color w:val="000000"/>
                <w:kern w:val="0"/>
                <w:sz w:val="18"/>
                <w:szCs w:val="18"/>
              </w:rPr>
              <w:t>实际支出资金：一定时期（本年度或项目期）内项目实际拨付的资金。</w:t>
            </w:r>
          </w:p>
        </w:tc>
        <w:tc>
          <w:tcPr>
            <w:tcW w:w="512" w:type="pct"/>
            <w:shd w:val="clear" w:color="auto" w:fill="FFFFFF"/>
            <w:vAlign w:val="center"/>
          </w:tcPr>
          <w:p w14:paraId="44E6D48F">
            <w:pPr>
              <w:widowControl/>
              <w:spacing w:line="0" w:lineRule="atLeast"/>
              <w:jc w:val="center"/>
              <w:rPr>
                <w:rFonts w:eastAsia="仿宋_GB2312"/>
                <w:b/>
                <w:bCs/>
                <w:color w:val="000000"/>
                <w:kern w:val="0"/>
                <w:sz w:val="18"/>
                <w:szCs w:val="18"/>
              </w:rPr>
            </w:pPr>
            <w:bookmarkStart w:id="33" w:name="OLE_LINK34"/>
            <w:r>
              <w:rPr>
                <w:rFonts w:eastAsia="仿宋_GB2312"/>
                <w:b/>
                <w:bCs/>
                <w:color w:val="000000"/>
                <w:kern w:val="0"/>
                <w:sz w:val="18"/>
                <w:szCs w:val="18"/>
              </w:rPr>
              <w:t>4</w:t>
            </w:r>
            <w:bookmarkEnd w:id="33"/>
          </w:p>
        </w:tc>
        <w:tc>
          <w:tcPr>
            <w:tcW w:w="538" w:type="pct"/>
            <w:shd w:val="clear" w:color="auto" w:fill="FFFFFF"/>
            <w:vAlign w:val="center"/>
          </w:tcPr>
          <w:p w14:paraId="0FD27F3C">
            <w:pPr>
              <w:widowControl/>
              <w:spacing w:line="0" w:lineRule="atLeast"/>
              <w:jc w:val="center"/>
              <w:rPr>
                <w:rFonts w:hint="default" w:eastAsia="仿宋_GB2312"/>
                <w:b/>
                <w:bCs/>
                <w:color w:val="000000"/>
                <w:kern w:val="0"/>
                <w:sz w:val="18"/>
                <w:szCs w:val="18"/>
                <w:lang w:val="en-US" w:eastAsia="zh-CN"/>
              </w:rPr>
            </w:pPr>
            <w:r>
              <w:rPr>
                <w:rFonts w:hint="eastAsia" w:eastAsia="仿宋_GB2312"/>
                <w:b/>
                <w:bCs/>
                <w:color w:val="000000"/>
                <w:kern w:val="0"/>
                <w:sz w:val="18"/>
                <w:szCs w:val="18"/>
                <w:lang w:val="en-US" w:eastAsia="zh-CN"/>
              </w:rPr>
              <w:t>3.98</w:t>
            </w:r>
          </w:p>
        </w:tc>
      </w:tr>
      <w:tr w14:paraId="51C3EA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0D935A98">
            <w:pPr>
              <w:spacing w:line="0" w:lineRule="atLeast"/>
              <w:jc w:val="center"/>
              <w:rPr>
                <w:rFonts w:eastAsia="仿宋_GB2312"/>
                <w:color w:val="000000"/>
                <w:kern w:val="0"/>
                <w:sz w:val="18"/>
                <w:szCs w:val="18"/>
              </w:rPr>
            </w:pPr>
          </w:p>
        </w:tc>
        <w:tc>
          <w:tcPr>
            <w:tcW w:w="394" w:type="pct"/>
            <w:shd w:val="clear" w:color="auto" w:fill="FFFFFF"/>
            <w:vAlign w:val="center"/>
          </w:tcPr>
          <w:p w14:paraId="4F575F8F">
            <w:pPr>
              <w:widowControl/>
              <w:spacing w:line="0" w:lineRule="atLeast"/>
              <w:jc w:val="center"/>
              <w:rPr>
                <w:rFonts w:eastAsia="仿宋_GB2312"/>
                <w:color w:val="000000"/>
                <w:kern w:val="0"/>
                <w:sz w:val="18"/>
                <w:szCs w:val="18"/>
              </w:rPr>
            </w:pPr>
            <w:r>
              <w:rPr>
                <w:rFonts w:eastAsia="仿宋_GB2312"/>
                <w:color w:val="000000"/>
                <w:kern w:val="0"/>
                <w:sz w:val="18"/>
                <w:szCs w:val="18"/>
              </w:rPr>
              <w:t>资金管理</w:t>
            </w:r>
          </w:p>
        </w:tc>
        <w:tc>
          <w:tcPr>
            <w:tcW w:w="422" w:type="pct"/>
            <w:shd w:val="clear" w:color="auto" w:fill="FFFFFF"/>
            <w:vAlign w:val="center"/>
          </w:tcPr>
          <w:p w14:paraId="542B407B">
            <w:pPr>
              <w:widowControl/>
              <w:spacing w:line="0" w:lineRule="atLeast"/>
              <w:jc w:val="center"/>
              <w:rPr>
                <w:rFonts w:eastAsia="仿宋_GB2312"/>
                <w:color w:val="000000"/>
                <w:kern w:val="0"/>
                <w:sz w:val="18"/>
                <w:szCs w:val="18"/>
              </w:rPr>
            </w:pPr>
            <w:r>
              <w:rPr>
                <w:rFonts w:eastAsia="仿宋_GB2312"/>
                <w:color w:val="000000"/>
                <w:kern w:val="0"/>
                <w:sz w:val="18"/>
                <w:szCs w:val="18"/>
              </w:rPr>
              <w:t>资金使用</w:t>
            </w:r>
          </w:p>
          <w:p w14:paraId="7DBBA85D">
            <w:pPr>
              <w:widowControl/>
              <w:spacing w:line="0" w:lineRule="atLeast"/>
              <w:jc w:val="center"/>
              <w:rPr>
                <w:rFonts w:eastAsia="仿宋_GB2312"/>
                <w:color w:val="000000"/>
                <w:kern w:val="0"/>
                <w:sz w:val="18"/>
                <w:szCs w:val="18"/>
              </w:rPr>
            </w:pPr>
            <w:r>
              <w:rPr>
                <w:rFonts w:eastAsia="仿宋_GB2312"/>
                <w:color w:val="000000"/>
                <w:kern w:val="0"/>
                <w:sz w:val="18"/>
                <w:szCs w:val="18"/>
              </w:rPr>
              <w:t>合规性</w:t>
            </w:r>
          </w:p>
        </w:tc>
        <w:tc>
          <w:tcPr>
            <w:tcW w:w="680" w:type="pct"/>
            <w:shd w:val="clear" w:color="000000" w:fill="FFFFFF"/>
            <w:vAlign w:val="center"/>
          </w:tcPr>
          <w:p w14:paraId="786263B5">
            <w:pPr>
              <w:widowControl/>
              <w:spacing w:line="0" w:lineRule="atLeast"/>
              <w:rPr>
                <w:rFonts w:eastAsia="仿宋_GB2312"/>
                <w:color w:val="000000"/>
                <w:kern w:val="0"/>
                <w:sz w:val="18"/>
                <w:szCs w:val="18"/>
              </w:rPr>
            </w:pPr>
            <w:r>
              <w:rPr>
                <w:rFonts w:eastAsia="仿宋_GB2312"/>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14:paraId="749EBA8F">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①是否符合国家财经法规和财务管理制度以及有关专项资金管理办法的规定；</w:t>
            </w:r>
            <w:r>
              <w:rPr>
                <w:rFonts w:eastAsia="仿宋_GB2312"/>
                <w:color w:val="000000"/>
                <w:kern w:val="0"/>
                <w:sz w:val="18"/>
                <w:szCs w:val="18"/>
              </w:rPr>
              <w:br w:type="textWrapping"/>
            </w:r>
            <w:r>
              <w:rPr>
                <w:rFonts w:eastAsia="仿宋_GB2312"/>
                <w:color w:val="000000"/>
                <w:kern w:val="0"/>
                <w:sz w:val="18"/>
                <w:szCs w:val="18"/>
              </w:rPr>
              <w:t>②资金的拨付是否有完整的审批程序和手续；</w:t>
            </w:r>
            <w:r>
              <w:rPr>
                <w:rFonts w:eastAsia="仿宋_GB2312"/>
                <w:color w:val="000000"/>
                <w:kern w:val="0"/>
                <w:sz w:val="18"/>
                <w:szCs w:val="18"/>
              </w:rPr>
              <w:br w:type="textWrapping"/>
            </w:r>
            <w:r>
              <w:rPr>
                <w:rFonts w:eastAsia="仿宋_GB2312"/>
                <w:color w:val="000000"/>
                <w:kern w:val="0"/>
                <w:sz w:val="18"/>
                <w:szCs w:val="18"/>
              </w:rPr>
              <w:t>③是否符合项目预算批复或合同规定的用途；</w:t>
            </w:r>
            <w:r>
              <w:rPr>
                <w:rFonts w:eastAsia="仿宋_GB2312"/>
                <w:color w:val="000000"/>
                <w:kern w:val="0"/>
                <w:sz w:val="18"/>
                <w:szCs w:val="18"/>
              </w:rPr>
              <w:br w:type="textWrapping"/>
            </w:r>
            <w:r>
              <w:rPr>
                <w:rFonts w:eastAsia="仿宋_GB2312"/>
                <w:color w:val="000000"/>
                <w:kern w:val="0"/>
                <w:sz w:val="18"/>
                <w:szCs w:val="18"/>
              </w:rPr>
              <w:t>④是否存在截留、挤占、挪用、虚列支出等情况。</w:t>
            </w:r>
          </w:p>
        </w:tc>
        <w:tc>
          <w:tcPr>
            <w:tcW w:w="512" w:type="pct"/>
            <w:shd w:val="clear" w:color="000000" w:fill="FFFFFF"/>
            <w:vAlign w:val="center"/>
          </w:tcPr>
          <w:p w14:paraId="28A94C70">
            <w:pPr>
              <w:widowControl/>
              <w:spacing w:line="0" w:lineRule="atLeast"/>
              <w:jc w:val="center"/>
              <w:rPr>
                <w:rFonts w:eastAsia="仿宋_GB2312"/>
                <w:b/>
                <w:bCs/>
                <w:color w:val="000000"/>
                <w:kern w:val="0"/>
                <w:sz w:val="18"/>
                <w:szCs w:val="18"/>
              </w:rPr>
            </w:pPr>
            <w:bookmarkStart w:id="34" w:name="OLE_LINK35"/>
            <w:r>
              <w:rPr>
                <w:rFonts w:eastAsia="仿宋_GB2312"/>
                <w:b/>
                <w:bCs/>
                <w:color w:val="000000"/>
                <w:kern w:val="0"/>
                <w:sz w:val="18"/>
                <w:szCs w:val="18"/>
              </w:rPr>
              <w:t>4</w:t>
            </w:r>
            <w:bookmarkEnd w:id="34"/>
          </w:p>
        </w:tc>
        <w:tc>
          <w:tcPr>
            <w:tcW w:w="538" w:type="pct"/>
            <w:shd w:val="clear" w:color="000000" w:fill="FFFFFF"/>
            <w:vAlign w:val="center"/>
          </w:tcPr>
          <w:p w14:paraId="651339EA">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14:paraId="758472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14:paraId="5D0A8014">
            <w:pPr>
              <w:spacing w:line="0" w:lineRule="atLeast"/>
              <w:jc w:val="center"/>
              <w:rPr>
                <w:rFonts w:eastAsia="仿宋_GB2312"/>
                <w:color w:val="000000"/>
                <w:kern w:val="0"/>
                <w:sz w:val="18"/>
                <w:szCs w:val="18"/>
              </w:rPr>
            </w:pPr>
          </w:p>
        </w:tc>
        <w:tc>
          <w:tcPr>
            <w:tcW w:w="394" w:type="pct"/>
            <w:vMerge w:val="restart"/>
            <w:shd w:val="clear" w:color="auto" w:fill="FFFFFF"/>
            <w:vAlign w:val="center"/>
          </w:tcPr>
          <w:p w14:paraId="48C744EC">
            <w:pPr>
              <w:widowControl/>
              <w:spacing w:line="0" w:lineRule="atLeast"/>
              <w:jc w:val="center"/>
              <w:rPr>
                <w:rFonts w:eastAsia="仿宋_GB2312"/>
                <w:color w:val="000000"/>
                <w:kern w:val="0"/>
                <w:sz w:val="18"/>
                <w:szCs w:val="18"/>
              </w:rPr>
            </w:pPr>
            <w:r>
              <w:rPr>
                <w:rFonts w:eastAsia="仿宋_GB2312"/>
                <w:color w:val="000000"/>
                <w:kern w:val="0"/>
                <w:sz w:val="18"/>
                <w:szCs w:val="18"/>
              </w:rPr>
              <w:t>组织实施</w:t>
            </w:r>
          </w:p>
          <w:p w14:paraId="136F0406">
            <w:pPr>
              <w:spacing w:line="0" w:lineRule="atLeast"/>
              <w:jc w:val="center"/>
              <w:rPr>
                <w:rFonts w:eastAsia="仿宋_GB2312"/>
                <w:color w:val="000000"/>
                <w:kern w:val="0"/>
                <w:sz w:val="18"/>
                <w:szCs w:val="18"/>
              </w:rPr>
            </w:pPr>
            <w:r>
              <w:rPr>
                <w:rFonts w:eastAsia="仿宋_GB2312"/>
                <w:color w:val="000000"/>
                <w:kern w:val="0"/>
                <w:sz w:val="18"/>
                <w:szCs w:val="18"/>
              </w:rPr>
              <w:t>　</w:t>
            </w:r>
          </w:p>
        </w:tc>
        <w:tc>
          <w:tcPr>
            <w:tcW w:w="422" w:type="pct"/>
            <w:shd w:val="clear" w:color="auto" w:fill="FFFFFF"/>
            <w:vAlign w:val="center"/>
          </w:tcPr>
          <w:p w14:paraId="5132776D">
            <w:pPr>
              <w:widowControl/>
              <w:spacing w:line="0" w:lineRule="atLeast"/>
              <w:jc w:val="center"/>
              <w:rPr>
                <w:rFonts w:eastAsia="仿宋_GB2312"/>
                <w:color w:val="000000"/>
                <w:kern w:val="0"/>
                <w:sz w:val="18"/>
                <w:szCs w:val="18"/>
              </w:rPr>
            </w:pPr>
            <w:r>
              <w:rPr>
                <w:rFonts w:eastAsia="仿宋_GB2312"/>
                <w:color w:val="000000"/>
                <w:kern w:val="0"/>
                <w:sz w:val="18"/>
                <w:szCs w:val="18"/>
              </w:rPr>
              <w:t>管理制度</w:t>
            </w:r>
          </w:p>
          <w:p w14:paraId="2AE12053">
            <w:pPr>
              <w:widowControl/>
              <w:spacing w:line="0" w:lineRule="atLeast"/>
              <w:jc w:val="center"/>
              <w:rPr>
                <w:rFonts w:eastAsia="仿宋_GB2312"/>
                <w:color w:val="000000"/>
                <w:kern w:val="0"/>
                <w:sz w:val="18"/>
                <w:szCs w:val="18"/>
              </w:rPr>
            </w:pPr>
            <w:r>
              <w:rPr>
                <w:rFonts w:eastAsia="仿宋_GB2312"/>
                <w:color w:val="000000"/>
                <w:kern w:val="0"/>
                <w:sz w:val="18"/>
                <w:szCs w:val="18"/>
              </w:rPr>
              <w:t>健全性</w:t>
            </w:r>
          </w:p>
        </w:tc>
        <w:tc>
          <w:tcPr>
            <w:tcW w:w="680" w:type="pct"/>
            <w:shd w:val="clear" w:color="000000" w:fill="FFFFFF"/>
            <w:vAlign w:val="center"/>
          </w:tcPr>
          <w:p w14:paraId="7F6905BC">
            <w:pPr>
              <w:widowControl/>
              <w:spacing w:line="0" w:lineRule="atLeast"/>
              <w:rPr>
                <w:rFonts w:eastAsia="仿宋_GB2312"/>
                <w:color w:val="000000"/>
                <w:kern w:val="0"/>
                <w:sz w:val="18"/>
                <w:szCs w:val="18"/>
              </w:rPr>
            </w:pPr>
            <w:r>
              <w:rPr>
                <w:rFonts w:eastAsia="仿宋_GB2312"/>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14:paraId="21F95EB7">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①是否已制定或具有相应的财务和业务管理制度；</w:t>
            </w:r>
            <w:r>
              <w:rPr>
                <w:rFonts w:eastAsia="仿宋_GB2312"/>
                <w:color w:val="000000"/>
                <w:kern w:val="0"/>
                <w:sz w:val="18"/>
                <w:szCs w:val="18"/>
              </w:rPr>
              <w:br w:type="textWrapping"/>
            </w:r>
            <w:r>
              <w:rPr>
                <w:rFonts w:eastAsia="仿宋_GB2312"/>
                <w:color w:val="000000"/>
                <w:kern w:val="0"/>
                <w:sz w:val="18"/>
                <w:szCs w:val="18"/>
              </w:rPr>
              <w:t>②财务和业务管理制度是否合法、合规、完整。</w:t>
            </w:r>
          </w:p>
        </w:tc>
        <w:tc>
          <w:tcPr>
            <w:tcW w:w="512" w:type="pct"/>
            <w:shd w:val="clear" w:color="000000" w:fill="FFFFFF"/>
            <w:vAlign w:val="center"/>
          </w:tcPr>
          <w:p w14:paraId="67C1F29F">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vAlign w:val="center"/>
          </w:tcPr>
          <w:p w14:paraId="3774AFF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14:paraId="3245EF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14:paraId="0EEFC7EE">
            <w:pPr>
              <w:widowControl/>
              <w:spacing w:line="0" w:lineRule="atLeast"/>
              <w:jc w:val="center"/>
              <w:rPr>
                <w:rFonts w:eastAsia="仿宋_GB2312"/>
                <w:color w:val="000000"/>
                <w:kern w:val="0"/>
                <w:sz w:val="18"/>
                <w:szCs w:val="18"/>
              </w:rPr>
            </w:pPr>
          </w:p>
        </w:tc>
        <w:tc>
          <w:tcPr>
            <w:tcW w:w="394" w:type="pct"/>
            <w:vMerge w:val="continue"/>
            <w:shd w:val="clear" w:color="auto" w:fill="FFFFFF"/>
            <w:vAlign w:val="center"/>
          </w:tcPr>
          <w:p w14:paraId="265E55EC">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0CF554C6">
            <w:pPr>
              <w:widowControl/>
              <w:spacing w:line="0" w:lineRule="atLeast"/>
              <w:jc w:val="center"/>
              <w:rPr>
                <w:rFonts w:eastAsia="仿宋_GB2312"/>
                <w:color w:val="000000"/>
                <w:kern w:val="0"/>
                <w:sz w:val="18"/>
                <w:szCs w:val="18"/>
              </w:rPr>
            </w:pPr>
            <w:r>
              <w:rPr>
                <w:rFonts w:eastAsia="仿宋_GB2312"/>
                <w:color w:val="000000"/>
                <w:kern w:val="0"/>
                <w:sz w:val="18"/>
                <w:szCs w:val="18"/>
              </w:rPr>
              <w:t>制度执行</w:t>
            </w:r>
          </w:p>
          <w:p w14:paraId="5B00E732">
            <w:pPr>
              <w:widowControl/>
              <w:spacing w:line="0" w:lineRule="atLeast"/>
              <w:jc w:val="center"/>
              <w:rPr>
                <w:rFonts w:eastAsia="仿宋_GB2312"/>
                <w:color w:val="000000"/>
                <w:kern w:val="0"/>
                <w:sz w:val="18"/>
                <w:szCs w:val="18"/>
              </w:rPr>
            </w:pPr>
            <w:r>
              <w:rPr>
                <w:rFonts w:eastAsia="仿宋_GB2312"/>
                <w:color w:val="000000"/>
                <w:kern w:val="0"/>
                <w:sz w:val="18"/>
                <w:szCs w:val="18"/>
              </w:rPr>
              <w:t>有效性</w:t>
            </w:r>
          </w:p>
        </w:tc>
        <w:tc>
          <w:tcPr>
            <w:tcW w:w="680" w:type="pct"/>
            <w:shd w:val="clear" w:color="000000" w:fill="FFFFFF"/>
            <w:vAlign w:val="center"/>
          </w:tcPr>
          <w:p w14:paraId="5B21DB4C">
            <w:pPr>
              <w:widowControl/>
              <w:spacing w:line="0" w:lineRule="atLeast"/>
              <w:rPr>
                <w:rFonts w:eastAsia="仿宋_GB2312"/>
                <w:color w:val="000000"/>
                <w:kern w:val="0"/>
                <w:sz w:val="18"/>
                <w:szCs w:val="18"/>
              </w:rPr>
            </w:pPr>
            <w:r>
              <w:rPr>
                <w:rFonts w:eastAsia="仿宋_GB2312"/>
                <w:color w:val="000000"/>
                <w:kern w:val="0"/>
                <w:sz w:val="18"/>
                <w:szCs w:val="18"/>
              </w:rPr>
              <w:t>项目实施是否符合相关管理规定，用以反映和考核相关管理制度的有效执行情况。</w:t>
            </w:r>
          </w:p>
        </w:tc>
        <w:tc>
          <w:tcPr>
            <w:tcW w:w="2055" w:type="pct"/>
            <w:shd w:val="clear" w:color="000000" w:fill="FFFFFF"/>
            <w:vAlign w:val="center"/>
          </w:tcPr>
          <w:p w14:paraId="5AE71518">
            <w:pPr>
              <w:widowControl/>
              <w:spacing w:line="0" w:lineRule="atLeast"/>
              <w:rPr>
                <w:rFonts w:eastAsia="仿宋_GB2312"/>
                <w:color w:val="000000"/>
                <w:kern w:val="0"/>
                <w:sz w:val="18"/>
                <w:szCs w:val="18"/>
              </w:rPr>
            </w:pPr>
            <w:r>
              <w:rPr>
                <w:rFonts w:eastAsia="仿宋_GB2312"/>
                <w:color w:val="000000"/>
                <w:kern w:val="0"/>
                <w:sz w:val="18"/>
                <w:szCs w:val="18"/>
              </w:rPr>
              <w:t>评价要点：</w:t>
            </w:r>
            <w:r>
              <w:rPr>
                <w:rFonts w:eastAsia="仿宋_GB2312"/>
                <w:color w:val="000000"/>
                <w:kern w:val="0"/>
                <w:sz w:val="18"/>
                <w:szCs w:val="18"/>
              </w:rPr>
              <w:br w:type="textWrapping"/>
            </w:r>
            <w:r>
              <w:rPr>
                <w:rFonts w:eastAsia="仿宋_GB2312"/>
                <w:color w:val="000000"/>
                <w:kern w:val="0"/>
                <w:sz w:val="18"/>
                <w:szCs w:val="18"/>
              </w:rPr>
              <w:t>①是否遵守相关法律法规和相关管理规定；</w:t>
            </w:r>
            <w:r>
              <w:rPr>
                <w:rFonts w:eastAsia="仿宋_GB2312"/>
                <w:color w:val="000000"/>
                <w:kern w:val="0"/>
                <w:sz w:val="18"/>
                <w:szCs w:val="18"/>
              </w:rPr>
              <w:br w:type="textWrapping"/>
            </w:r>
            <w:r>
              <w:rPr>
                <w:rFonts w:eastAsia="仿宋_GB2312"/>
                <w:color w:val="000000"/>
                <w:kern w:val="0"/>
                <w:sz w:val="18"/>
                <w:szCs w:val="18"/>
              </w:rPr>
              <w:t>②项目调整及支出调整手续是否完备；</w:t>
            </w:r>
            <w:r>
              <w:rPr>
                <w:rFonts w:eastAsia="仿宋_GB2312"/>
                <w:color w:val="000000"/>
                <w:kern w:val="0"/>
                <w:sz w:val="18"/>
                <w:szCs w:val="18"/>
              </w:rPr>
              <w:br w:type="textWrapping"/>
            </w:r>
            <w:r>
              <w:rPr>
                <w:rFonts w:eastAsia="仿宋_GB2312"/>
                <w:color w:val="000000"/>
                <w:kern w:val="0"/>
                <w:sz w:val="18"/>
                <w:szCs w:val="18"/>
              </w:rPr>
              <w:t>③项目合同书、验收报告、技术鉴定等资料是否齐全并及时归档；</w:t>
            </w:r>
            <w:r>
              <w:rPr>
                <w:rFonts w:eastAsia="仿宋_GB2312"/>
                <w:color w:val="000000"/>
                <w:kern w:val="0"/>
                <w:sz w:val="18"/>
                <w:szCs w:val="18"/>
              </w:rPr>
              <w:br w:type="textWrapping"/>
            </w:r>
            <w:r>
              <w:rPr>
                <w:rFonts w:eastAsia="仿宋_GB2312"/>
                <w:color w:val="000000"/>
                <w:kern w:val="0"/>
                <w:sz w:val="18"/>
                <w:szCs w:val="18"/>
              </w:rPr>
              <w:t>④项目实施的人员条件、场地设备、信息支撑等是否落实到位。</w:t>
            </w:r>
          </w:p>
        </w:tc>
        <w:tc>
          <w:tcPr>
            <w:tcW w:w="512" w:type="pct"/>
            <w:shd w:val="clear" w:color="000000" w:fill="FFFFFF"/>
            <w:vAlign w:val="center"/>
          </w:tcPr>
          <w:p w14:paraId="349686A9">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c>
          <w:tcPr>
            <w:tcW w:w="538" w:type="pct"/>
            <w:shd w:val="clear" w:color="000000" w:fill="FFFFFF"/>
            <w:vAlign w:val="center"/>
          </w:tcPr>
          <w:p w14:paraId="1C064596">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4</w:t>
            </w:r>
          </w:p>
        </w:tc>
      </w:tr>
      <w:tr w14:paraId="234851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14:paraId="5ECE89B7">
            <w:pPr>
              <w:widowControl/>
              <w:spacing w:line="0" w:lineRule="atLeast"/>
              <w:jc w:val="center"/>
              <w:rPr>
                <w:rFonts w:eastAsia="仿宋_GB2312"/>
                <w:color w:val="000000"/>
                <w:kern w:val="0"/>
                <w:sz w:val="18"/>
                <w:szCs w:val="18"/>
              </w:rPr>
            </w:pPr>
            <w:r>
              <w:rPr>
                <w:rFonts w:eastAsia="仿宋_GB2312"/>
                <w:color w:val="000000"/>
                <w:kern w:val="0"/>
                <w:sz w:val="18"/>
                <w:szCs w:val="18"/>
              </w:rPr>
              <w:t>产出</w:t>
            </w:r>
          </w:p>
        </w:tc>
        <w:tc>
          <w:tcPr>
            <w:tcW w:w="394" w:type="pct"/>
            <w:shd w:val="clear" w:color="auto" w:fill="FFFFFF"/>
            <w:vAlign w:val="center"/>
          </w:tcPr>
          <w:p w14:paraId="0FE429C6">
            <w:pPr>
              <w:widowControl/>
              <w:spacing w:line="0" w:lineRule="atLeast"/>
              <w:jc w:val="center"/>
              <w:rPr>
                <w:rFonts w:eastAsia="仿宋_GB2312"/>
                <w:color w:val="000000"/>
                <w:kern w:val="0"/>
                <w:sz w:val="18"/>
                <w:szCs w:val="18"/>
              </w:rPr>
            </w:pPr>
            <w:r>
              <w:rPr>
                <w:rFonts w:eastAsia="仿宋_GB2312"/>
                <w:color w:val="000000"/>
                <w:kern w:val="0"/>
                <w:sz w:val="18"/>
                <w:szCs w:val="18"/>
              </w:rPr>
              <w:t>产出数量</w:t>
            </w:r>
          </w:p>
        </w:tc>
        <w:tc>
          <w:tcPr>
            <w:tcW w:w="422" w:type="pct"/>
            <w:shd w:val="clear" w:color="auto" w:fill="FFFFFF"/>
            <w:vAlign w:val="center"/>
          </w:tcPr>
          <w:p w14:paraId="11728F94">
            <w:pPr>
              <w:widowControl/>
              <w:spacing w:line="0" w:lineRule="atLeast"/>
              <w:jc w:val="center"/>
              <w:rPr>
                <w:rFonts w:eastAsia="仿宋_GB2312"/>
                <w:color w:val="000000"/>
                <w:kern w:val="0"/>
                <w:sz w:val="18"/>
                <w:szCs w:val="18"/>
              </w:rPr>
            </w:pPr>
            <w:r>
              <w:rPr>
                <w:rFonts w:eastAsia="仿宋_GB2312"/>
                <w:color w:val="000000"/>
                <w:kern w:val="0"/>
                <w:sz w:val="18"/>
                <w:szCs w:val="18"/>
              </w:rPr>
              <w:t>实际完成率</w:t>
            </w:r>
          </w:p>
        </w:tc>
        <w:tc>
          <w:tcPr>
            <w:tcW w:w="680" w:type="pct"/>
            <w:shd w:val="clear" w:color="000000" w:fill="FFFFFF"/>
            <w:vAlign w:val="center"/>
          </w:tcPr>
          <w:p w14:paraId="311405C2">
            <w:pPr>
              <w:widowControl/>
              <w:spacing w:line="0" w:lineRule="atLeast"/>
              <w:rPr>
                <w:rFonts w:eastAsia="仿宋_GB2312"/>
                <w:color w:val="000000"/>
                <w:kern w:val="0"/>
                <w:sz w:val="18"/>
                <w:szCs w:val="18"/>
              </w:rPr>
            </w:pPr>
            <w:r>
              <w:rPr>
                <w:rFonts w:eastAsia="仿宋_GB2312"/>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14:paraId="2578C671">
            <w:pPr>
              <w:widowControl/>
              <w:spacing w:line="0" w:lineRule="atLeast"/>
              <w:rPr>
                <w:rFonts w:eastAsia="仿宋_GB2312"/>
                <w:color w:val="000000"/>
                <w:kern w:val="0"/>
                <w:sz w:val="18"/>
                <w:szCs w:val="18"/>
              </w:rPr>
            </w:pPr>
            <w:r>
              <w:rPr>
                <w:rFonts w:eastAsia="仿宋_GB2312"/>
                <w:color w:val="000000"/>
                <w:kern w:val="0"/>
                <w:sz w:val="18"/>
                <w:szCs w:val="18"/>
              </w:rPr>
              <w:t>实际完成率=（实际产出数/计划产出数）×100%。</w:t>
            </w:r>
            <w:r>
              <w:rPr>
                <w:rFonts w:eastAsia="仿宋_GB2312"/>
                <w:color w:val="000000"/>
                <w:kern w:val="0"/>
                <w:sz w:val="18"/>
                <w:szCs w:val="18"/>
              </w:rPr>
              <w:br w:type="textWrapping"/>
            </w:r>
            <w:r>
              <w:rPr>
                <w:rFonts w:eastAsia="仿宋_GB2312"/>
                <w:color w:val="000000"/>
                <w:kern w:val="0"/>
                <w:sz w:val="18"/>
                <w:szCs w:val="18"/>
              </w:rPr>
              <w:t>实际产出数：一定时期（本年度或项目期）内项目实际产出的产品或提供的服务数量。</w:t>
            </w:r>
            <w:r>
              <w:rPr>
                <w:rFonts w:eastAsia="仿宋_GB2312"/>
                <w:color w:val="000000"/>
                <w:kern w:val="0"/>
                <w:sz w:val="18"/>
                <w:szCs w:val="18"/>
              </w:rPr>
              <w:br w:type="textWrapping"/>
            </w:r>
            <w:r>
              <w:rPr>
                <w:rFonts w:eastAsia="仿宋_GB2312"/>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14:paraId="7D64B114">
            <w:pPr>
              <w:widowControl/>
              <w:spacing w:line="0" w:lineRule="atLeast"/>
              <w:jc w:val="center"/>
              <w:rPr>
                <w:rFonts w:eastAsia="仿宋_GB2312"/>
                <w:b/>
                <w:bCs/>
                <w:color w:val="000000"/>
                <w:kern w:val="0"/>
                <w:sz w:val="18"/>
                <w:szCs w:val="18"/>
              </w:rPr>
            </w:pPr>
            <w:bookmarkStart w:id="35" w:name="OLE_LINK36"/>
            <w:r>
              <w:rPr>
                <w:rFonts w:eastAsia="仿宋_GB2312"/>
                <w:b/>
                <w:bCs/>
                <w:color w:val="000000"/>
                <w:kern w:val="0"/>
                <w:sz w:val="18"/>
                <w:szCs w:val="18"/>
              </w:rPr>
              <w:t>10</w:t>
            </w:r>
            <w:bookmarkEnd w:id="35"/>
          </w:p>
        </w:tc>
        <w:tc>
          <w:tcPr>
            <w:tcW w:w="538" w:type="pct"/>
            <w:shd w:val="clear" w:color="000000" w:fill="FFFFFF"/>
            <w:vAlign w:val="center"/>
          </w:tcPr>
          <w:p w14:paraId="59C12A97">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14:paraId="4DDB44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14:paraId="27FCEA41">
            <w:pPr>
              <w:widowControl/>
              <w:spacing w:line="0" w:lineRule="atLeast"/>
              <w:jc w:val="center"/>
              <w:rPr>
                <w:rFonts w:eastAsia="仿宋_GB2312"/>
                <w:color w:val="000000"/>
                <w:kern w:val="0"/>
                <w:sz w:val="18"/>
                <w:szCs w:val="18"/>
              </w:rPr>
            </w:pPr>
          </w:p>
        </w:tc>
        <w:tc>
          <w:tcPr>
            <w:tcW w:w="394" w:type="pct"/>
            <w:shd w:val="clear" w:color="auto" w:fill="FFFFFF"/>
            <w:vAlign w:val="center"/>
          </w:tcPr>
          <w:p w14:paraId="63841D4C">
            <w:pPr>
              <w:widowControl/>
              <w:spacing w:line="0" w:lineRule="atLeast"/>
              <w:jc w:val="center"/>
              <w:rPr>
                <w:rFonts w:eastAsia="仿宋_GB2312"/>
                <w:color w:val="000000"/>
                <w:kern w:val="0"/>
                <w:sz w:val="18"/>
                <w:szCs w:val="18"/>
              </w:rPr>
            </w:pPr>
            <w:r>
              <w:rPr>
                <w:rFonts w:eastAsia="仿宋_GB2312"/>
                <w:color w:val="000000"/>
                <w:kern w:val="0"/>
                <w:sz w:val="18"/>
                <w:szCs w:val="18"/>
              </w:rPr>
              <w:t>产出质量</w:t>
            </w:r>
          </w:p>
        </w:tc>
        <w:tc>
          <w:tcPr>
            <w:tcW w:w="422" w:type="pct"/>
            <w:shd w:val="clear" w:color="auto" w:fill="FFFFFF"/>
            <w:vAlign w:val="center"/>
          </w:tcPr>
          <w:p w14:paraId="1CCD905D">
            <w:pPr>
              <w:widowControl/>
              <w:spacing w:line="0" w:lineRule="atLeast"/>
              <w:jc w:val="center"/>
              <w:rPr>
                <w:rFonts w:eastAsia="仿宋_GB2312"/>
                <w:color w:val="000000"/>
                <w:kern w:val="0"/>
                <w:sz w:val="18"/>
                <w:szCs w:val="18"/>
              </w:rPr>
            </w:pPr>
            <w:r>
              <w:rPr>
                <w:rFonts w:eastAsia="仿宋_GB2312"/>
                <w:color w:val="000000"/>
                <w:kern w:val="0"/>
                <w:sz w:val="18"/>
                <w:szCs w:val="18"/>
              </w:rPr>
              <w:t>质量达标率</w:t>
            </w:r>
          </w:p>
        </w:tc>
        <w:tc>
          <w:tcPr>
            <w:tcW w:w="680" w:type="pct"/>
            <w:shd w:val="clear" w:color="000000" w:fill="FFFFFF"/>
            <w:vAlign w:val="center"/>
          </w:tcPr>
          <w:p w14:paraId="31328A45">
            <w:pPr>
              <w:widowControl/>
              <w:spacing w:line="0" w:lineRule="atLeast"/>
              <w:rPr>
                <w:rFonts w:eastAsia="仿宋_GB2312"/>
                <w:color w:val="000000"/>
                <w:kern w:val="0"/>
                <w:sz w:val="18"/>
                <w:szCs w:val="18"/>
              </w:rPr>
            </w:pPr>
            <w:r>
              <w:rPr>
                <w:rFonts w:eastAsia="仿宋_GB2312"/>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14:paraId="08F109BC">
            <w:pPr>
              <w:widowControl/>
              <w:spacing w:line="0" w:lineRule="atLeast"/>
              <w:rPr>
                <w:rFonts w:eastAsia="仿宋_GB2312"/>
                <w:color w:val="000000"/>
                <w:kern w:val="0"/>
                <w:sz w:val="18"/>
                <w:szCs w:val="18"/>
              </w:rPr>
            </w:pPr>
            <w:r>
              <w:rPr>
                <w:rFonts w:eastAsia="仿宋_GB2312"/>
                <w:color w:val="000000"/>
                <w:kern w:val="0"/>
                <w:sz w:val="18"/>
                <w:szCs w:val="18"/>
              </w:rPr>
              <w:t>质量达标率=（质量达标产出数/实际产出数）×100%。</w:t>
            </w:r>
          </w:p>
          <w:p w14:paraId="1BC97918">
            <w:pPr>
              <w:widowControl/>
              <w:spacing w:line="0" w:lineRule="atLeast"/>
              <w:rPr>
                <w:rFonts w:eastAsia="仿宋_GB2312"/>
                <w:color w:val="000000"/>
                <w:kern w:val="0"/>
                <w:sz w:val="18"/>
                <w:szCs w:val="18"/>
              </w:rPr>
            </w:pPr>
            <w:r>
              <w:rPr>
                <w:rFonts w:eastAsia="仿宋_GB2312"/>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360E7807">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5554F85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14:paraId="6E0268A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14:paraId="3943C189">
            <w:pPr>
              <w:spacing w:line="0" w:lineRule="atLeast"/>
              <w:jc w:val="center"/>
              <w:rPr>
                <w:rFonts w:eastAsia="仿宋_GB2312"/>
                <w:color w:val="000000"/>
                <w:kern w:val="0"/>
                <w:sz w:val="18"/>
                <w:szCs w:val="18"/>
              </w:rPr>
            </w:pPr>
          </w:p>
        </w:tc>
        <w:tc>
          <w:tcPr>
            <w:tcW w:w="394" w:type="pct"/>
            <w:shd w:val="clear" w:color="auto" w:fill="FFFFFF"/>
            <w:vAlign w:val="center"/>
          </w:tcPr>
          <w:p w14:paraId="5B3DCE7F">
            <w:pPr>
              <w:spacing w:line="0" w:lineRule="atLeast"/>
              <w:jc w:val="center"/>
              <w:rPr>
                <w:rFonts w:eastAsia="仿宋_GB2312"/>
                <w:color w:val="000000"/>
                <w:kern w:val="0"/>
                <w:sz w:val="18"/>
                <w:szCs w:val="18"/>
              </w:rPr>
            </w:pPr>
            <w:r>
              <w:rPr>
                <w:rFonts w:eastAsia="仿宋_GB2312"/>
                <w:color w:val="000000"/>
                <w:kern w:val="0"/>
                <w:sz w:val="18"/>
                <w:szCs w:val="18"/>
              </w:rPr>
              <w:t>产出时效</w:t>
            </w:r>
          </w:p>
        </w:tc>
        <w:tc>
          <w:tcPr>
            <w:tcW w:w="422" w:type="pct"/>
            <w:shd w:val="clear" w:color="auto" w:fill="FFFFFF"/>
            <w:vAlign w:val="center"/>
          </w:tcPr>
          <w:p w14:paraId="38425FAF">
            <w:pPr>
              <w:widowControl/>
              <w:spacing w:line="0" w:lineRule="atLeast"/>
              <w:jc w:val="center"/>
              <w:rPr>
                <w:rFonts w:eastAsia="仿宋_GB2312"/>
                <w:color w:val="000000"/>
                <w:kern w:val="0"/>
                <w:sz w:val="18"/>
                <w:szCs w:val="18"/>
              </w:rPr>
            </w:pPr>
            <w:r>
              <w:rPr>
                <w:rFonts w:eastAsia="仿宋_GB2312"/>
                <w:color w:val="000000"/>
                <w:kern w:val="0"/>
                <w:sz w:val="18"/>
                <w:szCs w:val="18"/>
              </w:rPr>
              <w:t>完成及时性</w:t>
            </w:r>
          </w:p>
        </w:tc>
        <w:tc>
          <w:tcPr>
            <w:tcW w:w="680" w:type="pct"/>
            <w:shd w:val="clear" w:color="000000" w:fill="FFFFFF"/>
            <w:vAlign w:val="center"/>
          </w:tcPr>
          <w:p w14:paraId="0EB86915">
            <w:pPr>
              <w:widowControl/>
              <w:spacing w:line="0" w:lineRule="atLeast"/>
              <w:rPr>
                <w:rFonts w:eastAsia="仿宋_GB2312"/>
                <w:color w:val="000000"/>
                <w:kern w:val="0"/>
                <w:sz w:val="18"/>
                <w:szCs w:val="18"/>
              </w:rPr>
            </w:pPr>
            <w:r>
              <w:rPr>
                <w:rFonts w:eastAsia="仿宋_GB2312"/>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14:paraId="20EA97D3">
            <w:pPr>
              <w:widowControl/>
              <w:spacing w:line="0" w:lineRule="atLeast"/>
              <w:rPr>
                <w:rFonts w:eastAsia="仿宋_GB2312"/>
                <w:color w:val="000000"/>
                <w:kern w:val="0"/>
                <w:sz w:val="18"/>
                <w:szCs w:val="18"/>
              </w:rPr>
            </w:pPr>
            <w:r>
              <w:rPr>
                <w:rFonts w:eastAsia="仿宋_GB2312"/>
                <w:color w:val="000000"/>
                <w:kern w:val="0"/>
                <w:sz w:val="18"/>
                <w:szCs w:val="18"/>
              </w:rPr>
              <w:t>实际完成时间：项目实施单位完成该项目实际所耗用的时间。</w:t>
            </w:r>
            <w:r>
              <w:rPr>
                <w:rFonts w:eastAsia="仿宋_GB2312"/>
                <w:color w:val="000000"/>
                <w:kern w:val="0"/>
                <w:sz w:val="18"/>
                <w:szCs w:val="18"/>
              </w:rPr>
              <w:br w:type="textWrapping"/>
            </w:r>
            <w:r>
              <w:rPr>
                <w:rFonts w:eastAsia="仿宋_GB2312"/>
                <w:color w:val="000000"/>
                <w:kern w:val="0"/>
                <w:sz w:val="18"/>
                <w:szCs w:val="18"/>
              </w:rPr>
              <w:t>计划完成时间：按照项目实施计划或相关规定完成该项目所需的时间。</w:t>
            </w:r>
          </w:p>
        </w:tc>
        <w:tc>
          <w:tcPr>
            <w:tcW w:w="512" w:type="pct"/>
            <w:shd w:val="clear" w:color="000000" w:fill="FFFFFF"/>
            <w:vAlign w:val="center"/>
          </w:tcPr>
          <w:p w14:paraId="50A1732B">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5432FD62">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14:paraId="6A4A3E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5C2A2B5B">
            <w:pPr>
              <w:widowControl/>
              <w:spacing w:line="0" w:lineRule="atLeast"/>
              <w:jc w:val="center"/>
              <w:rPr>
                <w:rFonts w:eastAsia="仿宋_GB2312"/>
                <w:color w:val="000000"/>
                <w:kern w:val="0"/>
                <w:sz w:val="18"/>
                <w:szCs w:val="18"/>
              </w:rPr>
            </w:pPr>
          </w:p>
        </w:tc>
        <w:tc>
          <w:tcPr>
            <w:tcW w:w="394" w:type="pct"/>
            <w:shd w:val="clear" w:color="auto" w:fill="FFFFFF"/>
            <w:vAlign w:val="center"/>
          </w:tcPr>
          <w:p w14:paraId="559C2B94">
            <w:pPr>
              <w:widowControl/>
              <w:spacing w:line="0" w:lineRule="atLeast"/>
              <w:jc w:val="center"/>
              <w:rPr>
                <w:rFonts w:eastAsia="仿宋_GB2312"/>
                <w:color w:val="000000"/>
                <w:kern w:val="0"/>
                <w:sz w:val="18"/>
                <w:szCs w:val="18"/>
              </w:rPr>
            </w:pPr>
            <w:r>
              <w:rPr>
                <w:rFonts w:eastAsia="仿宋_GB2312"/>
                <w:color w:val="000000"/>
                <w:kern w:val="0"/>
                <w:sz w:val="18"/>
                <w:szCs w:val="18"/>
              </w:rPr>
              <w:t>产出成本</w:t>
            </w:r>
          </w:p>
        </w:tc>
        <w:tc>
          <w:tcPr>
            <w:tcW w:w="422" w:type="pct"/>
            <w:shd w:val="clear" w:color="auto" w:fill="FFFFFF"/>
            <w:vAlign w:val="center"/>
          </w:tcPr>
          <w:p w14:paraId="39A2AD53">
            <w:pPr>
              <w:widowControl/>
              <w:spacing w:line="0" w:lineRule="atLeast"/>
              <w:jc w:val="center"/>
              <w:rPr>
                <w:rFonts w:eastAsia="仿宋_GB2312"/>
                <w:color w:val="000000"/>
                <w:kern w:val="0"/>
                <w:sz w:val="18"/>
                <w:szCs w:val="18"/>
              </w:rPr>
            </w:pPr>
            <w:r>
              <w:rPr>
                <w:rFonts w:hint="eastAsia" w:eastAsia="仿宋_GB2312"/>
                <w:color w:val="000000"/>
                <w:kern w:val="0"/>
                <w:sz w:val="18"/>
                <w:szCs w:val="18"/>
                <w:lang w:val="en-US" w:eastAsia="zh-CN"/>
              </w:rPr>
              <w:t>实际</w:t>
            </w:r>
            <w:r>
              <w:rPr>
                <w:rFonts w:eastAsia="仿宋_GB2312"/>
                <w:color w:val="000000"/>
                <w:kern w:val="0"/>
                <w:sz w:val="18"/>
                <w:szCs w:val="18"/>
              </w:rPr>
              <w:t>成本</w:t>
            </w:r>
          </w:p>
        </w:tc>
        <w:tc>
          <w:tcPr>
            <w:tcW w:w="680" w:type="pct"/>
            <w:shd w:val="clear" w:color="000000" w:fill="FFFFFF"/>
            <w:vAlign w:val="center"/>
          </w:tcPr>
          <w:p w14:paraId="0843A36C">
            <w:pPr>
              <w:widowControl/>
              <w:spacing w:line="0" w:lineRule="atLeast"/>
              <w:rPr>
                <w:rFonts w:eastAsia="仿宋_GB2312"/>
                <w:color w:val="000000"/>
                <w:kern w:val="0"/>
                <w:sz w:val="18"/>
                <w:szCs w:val="18"/>
              </w:rPr>
            </w:pPr>
            <w:r>
              <w:rPr>
                <w:rFonts w:eastAsia="仿宋_GB2312"/>
                <w:color w:val="000000"/>
                <w:kern w:val="0"/>
                <w:sz w:val="18"/>
                <w:szCs w:val="18"/>
              </w:rPr>
              <w:t>完成项目计划工作目标的实际成本与计划成本的比率，用以反映和考核项目的</w:t>
            </w:r>
            <w:r>
              <w:rPr>
                <w:rFonts w:hint="eastAsia" w:eastAsia="仿宋_GB2312"/>
                <w:color w:val="000000"/>
                <w:kern w:val="0"/>
                <w:sz w:val="18"/>
                <w:szCs w:val="18"/>
                <w:lang w:val="en-US" w:eastAsia="zh-CN"/>
              </w:rPr>
              <w:t>实际</w:t>
            </w:r>
            <w:r>
              <w:rPr>
                <w:rFonts w:eastAsia="仿宋_GB2312"/>
                <w:color w:val="000000"/>
                <w:kern w:val="0"/>
                <w:sz w:val="18"/>
                <w:szCs w:val="18"/>
              </w:rPr>
              <w:t>成本。</w:t>
            </w:r>
          </w:p>
        </w:tc>
        <w:tc>
          <w:tcPr>
            <w:tcW w:w="2055" w:type="pct"/>
            <w:shd w:val="clear" w:color="000000" w:fill="FFFFFF"/>
            <w:vAlign w:val="center"/>
          </w:tcPr>
          <w:p w14:paraId="49BD2AE7">
            <w:pPr>
              <w:widowControl/>
              <w:spacing w:line="0" w:lineRule="atLeast"/>
              <w:rPr>
                <w:rFonts w:eastAsia="仿宋_GB2312"/>
                <w:color w:val="000000"/>
                <w:kern w:val="0"/>
                <w:sz w:val="18"/>
                <w:szCs w:val="18"/>
              </w:rPr>
            </w:pPr>
            <w:r>
              <w:rPr>
                <w:rFonts w:eastAsia="仿宋_GB2312"/>
                <w:color w:val="000000"/>
                <w:kern w:val="0"/>
                <w:sz w:val="18"/>
                <w:szCs w:val="18"/>
              </w:rPr>
              <w:br w:type="textWrapping"/>
            </w:r>
            <w:r>
              <w:rPr>
                <w:rFonts w:hint="eastAsia" w:eastAsia="仿宋_GB2312"/>
                <w:color w:val="000000"/>
                <w:kern w:val="0"/>
                <w:sz w:val="18"/>
                <w:szCs w:val="18"/>
                <w:lang w:val="en-US" w:eastAsia="zh-CN"/>
              </w:rPr>
              <w:t>实际</w:t>
            </w:r>
            <w:r>
              <w:rPr>
                <w:rFonts w:eastAsia="仿宋_GB2312"/>
                <w:color w:val="000000"/>
                <w:kern w:val="0"/>
                <w:sz w:val="18"/>
                <w:szCs w:val="18"/>
              </w:rPr>
              <w:t>成本=实际成本/计划成本]×100%。</w:t>
            </w:r>
            <w:r>
              <w:rPr>
                <w:rFonts w:eastAsia="仿宋_GB2312"/>
                <w:color w:val="000000"/>
                <w:kern w:val="0"/>
                <w:sz w:val="18"/>
                <w:szCs w:val="18"/>
              </w:rPr>
              <w:br w:type="textWrapping"/>
            </w:r>
            <w:r>
              <w:rPr>
                <w:rFonts w:eastAsia="仿宋_GB2312"/>
                <w:color w:val="000000"/>
                <w:kern w:val="0"/>
                <w:sz w:val="18"/>
                <w:szCs w:val="18"/>
              </w:rPr>
              <w:t>实际成本：项目实施单位如期、保质、保量完成既定工作目标实际所耗费的支出。</w:t>
            </w:r>
            <w:r>
              <w:rPr>
                <w:rFonts w:eastAsia="仿宋_GB2312"/>
                <w:color w:val="000000"/>
                <w:kern w:val="0"/>
                <w:sz w:val="18"/>
                <w:szCs w:val="18"/>
              </w:rPr>
              <w:br w:type="textWrapping"/>
            </w:r>
            <w:r>
              <w:rPr>
                <w:rFonts w:eastAsia="仿宋_GB2312"/>
                <w:color w:val="000000"/>
                <w:kern w:val="0"/>
                <w:sz w:val="18"/>
                <w:szCs w:val="18"/>
              </w:rPr>
              <w:t>计划成本：项目实施单位为完成工作目标计划安排的支出，一般以项目预算为参考。</w:t>
            </w:r>
          </w:p>
        </w:tc>
        <w:tc>
          <w:tcPr>
            <w:tcW w:w="512" w:type="pct"/>
            <w:shd w:val="clear" w:color="000000" w:fill="FFFFFF"/>
            <w:vAlign w:val="center"/>
          </w:tcPr>
          <w:p w14:paraId="68580CBB">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6EA74352">
            <w:pPr>
              <w:widowControl/>
              <w:spacing w:line="0" w:lineRule="atLeast"/>
              <w:jc w:val="center"/>
              <w:rPr>
                <w:rFonts w:hint="default" w:eastAsia="仿宋_GB2312"/>
                <w:b/>
                <w:bCs/>
                <w:color w:val="000000"/>
                <w:kern w:val="0"/>
                <w:sz w:val="18"/>
                <w:szCs w:val="18"/>
                <w:lang w:val="en-US" w:eastAsia="zh-CN"/>
              </w:rPr>
            </w:pPr>
            <w:r>
              <w:rPr>
                <w:rFonts w:hint="eastAsia" w:eastAsia="仿宋_GB2312"/>
                <w:b/>
                <w:bCs/>
                <w:color w:val="000000"/>
                <w:kern w:val="0"/>
                <w:sz w:val="18"/>
                <w:szCs w:val="18"/>
                <w:lang w:val="en-US" w:eastAsia="zh-CN"/>
              </w:rPr>
              <w:t>9.94</w:t>
            </w:r>
          </w:p>
        </w:tc>
      </w:tr>
      <w:tr w14:paraId="7159016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14:paraId="5C644342">
            <w:pPr>
              <w:widowControl/>
              <w:spacing w:line="0" w:lineRule="atLeast"/>
              <w:jc w:val="center"/>
              <w:rPr>
                <w:rFonts w:eastAsia="仿宋_GB2312"/>
                <w:color w:val="000000"/>
                <w:kern w:val="0"/>
                <w:sz w:val="18"/>
                <w:szCs w:val="18"/>
              </w:rPr>
            </w:pPr>
            <w:r>
              <w:rPr>
                <w:rFonts w:eastAsia="仿宋_GB2312"/>
                <w:color w:val="000000"/>
                <w:kern w:val="0"/>
                <w:sz w:val="18"/>
                <w:szCs w:val="18"/>
              </w:rPr>
              <w:t>效益　</w:t>
            </w:r>
          </w:p>
        </w:tc>
        <w:tc>
          <w:tcPr>
            <w:tcW w:w="394" w:type="pct"/>
            <w:vMerge w:val="restart"/>
            <w:shd w:val="clear" w:color="auto" w:fill="FFFFFF"/>
            <w:vAlign w:val="center"/>
          </w:tcPr>
          <w:p w14:paraId="6395EA45">
            <w:pPr>
              <w:widowControl/>
              <w:spacing w:line="0" w:lineRule="atLeast"/>
              <w:jc w:val="center"/>
              <w:rPr>
                <w:rFonts w:eastAsia="仿宋_GB2312"/>
                <w:color w:val="000000"/>
                <w:kern w:val="0"/>
                <w:sz w:val="18"/>
                <w:szCs w:val="18"/>
              </w:rPr>
            </w:pPr>
            <w:r>
              <w:rPr>
                <w:rFonts w:eastAsia="仿宋_GB2312"/>
                <w:color w:val="000000"/>
                <w:kern w:val="0"/>
                <w:sz w:val="18"/>
                <w:szCs w:val="18"/>
              </w:rPr>
              <w:t>项目效益　</w:t>
            </w:r>
          </w:p>
        </w:tc>
        <w:tc>
          <w:tcPr>
            <w:tcW w:w="422" w:type="pct"/>
            <w:shd w:val="clear" w:color="auto" w:fill="FFFFFF"/>
            <w:vAlign w:val="center"/>
          </w:tcPr>
          <w:p w14:paraId="76D30A3C">
            <w:pPr>
              <w:widowControl/>
              <w:spacing w:line="0" w:lineRule="atLeast"/>
              <w:jc w:val="center"/>
              <w:rPr>
                <w:rFonts w:eastAsia="仿宋_GB2312"/>
                <w:color w:val="000000"/>
                <w:kern w:val="0"/>
                <w:sz w:val="18"/>
                <w:szCs w:val="18"/>
              </w:rPr>
            </w:pPr>
            <w:r>
              <w:rPr>
                <w:rFonts w:eastAsia="仿宋_GB2312"/>
                <w:color w:val="000000"/>
                <w:kern w:val="0"/>
                <w:sz w:val="18"/>
                <w:szCs w:val="18"/>
              </w:rPr>
              <w:t>实施效益</w:t>
            </w:r>
          </w:p>
        </w:tc>
        <w:tc>
          <w:tcPr>
            <w:tcW w:w="680" w:type="pct"/>
            <w:shd w:val="clear" w:color="auto" w:fill="FFFFFF"/>
            <w:vAlign w:val="center"/>
          </w:tcPr>
          <w:p w14:paraId="1F5ECF79">
            <w:pPr>
              <w:widowControl/>
              <w:spacing w:line="0" w:lineRule="atLeast"/>
              <w:jc w:val="left"/>
              <w:rPr>
                <w:rFonts w:eastAsia="仿宋_GB2312"/>
                <w:color w:val="000000"/>
                <w:kern w:val="0"/>
                <w:sz w:val="18"/>
                <w:szCs w:val="18"/>
              </w:rPr>
            </w:pPr>
            <w:r>
              <w:rPr>
                <w:rFonts w:eastAsia="仿宋_GB2312"/>
                <w:color w:val="000000"/>
                <w:kern w:val="0"/>
                <w:sz w:val="18"/>
                <w:szCs w:val="18"/>
              </w:rPr>
              <w:t>项目实施所产生的效益。</w:t>
            </w:r>
          </w:p>
        </w:tc>
        <w:tc>
          <w:tcPr>
            <w:tcW w:w="2055" w:type="pct"/>
            <w:shd w:val="clear" w:color="auto" w:fill="FFFFFF"/>
            <w:vAlign w:val="center"/>
          </w:tcPr>
          <w:p w14:paraId="2CE2F35E">
            <w:pPr>
              <w:widowControl/>
              <w:spacing w:line="0" w:lineRule="atLeast"/>
              <w:rPr>
                <w:rFonts w:eastAsia="仿宋_GB2312"/>
                <w:color w:val="000000"/>
                <w:kern w:val="0"/>
                <w:sz w:val="18"/>
                <w:szCs w:val="18"/>
              </w:rPr>
            </w:pPr>
            <w:r>
              <w:rPr>
                <w:rFonts w:eastAsia="仿宋_GB2312"/>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14:paraId="5416DB19">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auto" w:fill="FFFFFF"/>
            <w:vAlign w:val="center"/>
          </w:tcPr>
          <w:p w14:paraId="1A0C597D">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r w14:paraId="1B2767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14:paraId="5B96C959">
            <w:pPr>
              <w:widowControl/>
              <w:spacing w:line="0" w:lineRule="atLeast"/>
              <w:jc w:val="center"/>
              <w:rPr>
                <w:rFonts w:eastAsia="仿宋_GB2312"/>
                <w:color w:val="000000"/>
                <w:kern w:val="0"/>
                <w:sz w:val="18"/>
                <w:szCs w:val="18"/>
              </w:rPr>
            </w:pPr>
          </w:p>
        </w:tc>
        <w:tc>
          <w:tcPr>
            <w:tcW w:w="394" w:type="pct"/>
            <w:vMerge w:val="continue"/>
            <w:shd w:val="clear" w:color="auto" w:fill="FFFFFF"/>
            <w:vAlign w:val="center"/>
          </w:tcPr>
          <w:p w14:paraId="100C9C0E">
            <w:pPr>
              <w:widowControl/>
              <w:spacing w:line="0" w:lineRule="atLeast"/>
              <w:jc w:val="center"/>
              <w:rPr>
                <w:rFonts w:eastAsia="仿宋_GB2312"/>
                <w:color w:val="000000"/>
                <w:kern w:val="0"/>
                <w:sz w:val="18"/>
                <w:szCs w:val="18"/>
              </w:rPr>
            </w:pPr>
          </w:p>
        </w:tc>
        <w:tc>
          <w:tcPr>
            <w:tcW w:w="422" w:type="pct"/>
            <w:shd w:val="clear" w:color="auto" w:fill="FFFFFF"/>
            <w:vAlign w:val="center"/>
          </w:tcPr>
          <w:p w14:paraId="2D7797B3">
            <w:pPr>
              <w:widowControl/>
              <w:spacing w:line="0" w:lineRule="atLeast"/>
              <w:jc w:val="center"/>
              <w:rPr>
                <w:rFonts w:eastAsia="仿宋_GB2312"/>
                <w:color w:val="000000"/>
                <w:kern w:val="0"/>
                <w:sz w:val="18"/>
                <w:szCs w:val="18"/>
              </w:rPr>
            </w:pPr>
            <w:r>
              <w:rPr>
                <w:rFonts w:eastAsia="仿宋_GB2312"/>
                <w:color w:val="000000"/>
                <w:kern w:val="0"/>
                <w:sz w:val="18"/>
                <w:szCs w:val="18"/>
              </w:rPr>
              <w:t>满意度</w:t>
            </w:r>
          </w:p>
        </w:tc>
        <w:tc>
          <w:tcPr>
            <w:tcW w:w="680" w:type="pct"/>
            <w:shd w:val="clear" w:color="000000" w:fill="FFFFFF"/>
            <w:vAlign w:val="center"/>
          </w:tcPr>
          <w:p w14:paraId="08ACD3AC">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社会公众或服务对象对项目实施效果的满意程度。</w:t>
            </w:r>
          </w:p>
        </w:tc>
        <w:tc>
          <w:tcPr>
            <w:tcW w:w="2055" w:type="pct"/>
            <w:shd w:val="clear" w:color="000000" w:fill="FFFFFF"/>
            <w:vAlign w:val="center"/>
          </w:tcPr>
          <w:p w14:paraId="215A8B43">
            <w:pPr>
              <w:widowControl/>
              <w:spacing w:line="0" w:lineRule="atLeast"/>
              <w:rPr>
                <w:rFonts w:eastAsia="仿宋_GB2312"/>
                <w:color w:val="000000"/>
                <w:kern w:val="0"/>
                <w:sz w:val="18"/>
                <w:szCs w:val="18"/>
              </w:rPr>
            </w:pPr>
            <w:r>
              <w:rPr>
                <w:rFonts w:eastAsia="仿宋_GB2312"/>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14:paraId="4577F7D0">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c>
          <w:tcPr>
            <w:tcW w:w="538" w:type="pct"/>
            <w:shd w:val="clear" w:color="000000" w:fill="FFFFFF"/>
            <w:vAlign w:val="center"/>
          </w:tcPr>
          <w:p w14:paraId="591369EA">
            <w:pPr>
              <w:widowControl/>
              <w:spacing w:line="0" w:lineRule="atLeast"/>
              <w:jc w:val="center"/>
              <w:rPr>
                <w:rFonts w:eastAsia="仿宋_GB2312"/>
                <w:b/>
                <w:bCs/>
                <w:color w:val="000000"/>
                <w:kern w:val="0"/>
                <w:sz w:val="18"/>
                <w:szCs w:val="18"/>
              </w:rPr>
            </w:pPr>
            <w:r>
              <w:rPr>
                <w:rFonts w:eastAsia="仿宋_GB2312"/>
                <w:b/>
                <w:bCs/>
                <w:color w:val="000000"/>
                <w:kern w:val="0"/>
                <w:sz w:val="18"/>
                <w:szCs w:val="18"/>
              </w:rPr>
              <w:t>10</w:t>
            </w:r>
          </w:p>
        </w:tc>
      </w:tr>
    </w:tbl>
    <w:p w14:paraId="45C32983">
      <w:pPr>
        <w:sectPr>
          <w:pgSz w:w="16838" w:h="11906" w:orient="landscape"/>
          <w:pgMar w:top="1800" w:right="1440" w:bottom="1558" w:left="1440" w:header="851" w:footer="992" w:gutter="0"/>
          <w:cols w:space="425" w:num="1"/>
          <w:docGrid w:type="lines" w:linePitch="312" w:charSpace="0"/>
        </w:sectPr>
      </w:pPr>
    </w:p>
    <w:p w14:paraId="15B3E094">
      <w:pPr>
        <w:spacing w:line="600" w:lineRule="exact"/>
        <w:rPr>
          <w:rFonts w:eastAsia="黑体"/>
          <w:sz w:val="32"/>
          <w:szCs w:val="32"/>
        </w:rPr>
      </w:pPr>
      <w:r>
        <w:rPr>
          <w:rFonts w:hint="eastAsia" w:eastAsia="黑体"/>
          <w:sz w:val="32"/>
          <w:szCs w:val="32"/>
        </w:rPr>
        <w:t>附件2</w:t>
      </w:r>
    </w:p>
    <w:p w14:paraId="0A0B1C9B">
      <w:pPr>
        <w:spacing w:line="240" w:lineRule="atLeast"/>
        <w:jc w:val="center"/>
        <w:rPr>
          <w:rFonts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项目支出绩效自评表</w:t>
      </w:r>
    </w:p>
    <w:p w14:paraId="1077C4F3">
      <w:pPr>
        <w:spacing w:line="240" w:lineRule="atLeast"/>
        <w:jc w:val="center"/>
        <w:rPr>
          <w:rFonts w:eastAsia="仿宋_GB2312"/>
          <w:b/>
          <w:bCs/>
          <w:color w:val="000000"/>
          <w:kern w:val="0"/>
          <w:sz w:val="22"/>
          <w:szCs w:val="22"/>
        </w:rPr>
      </w:pPr>
      <w:r>
        <w:rPr>
          <w:rFonts w:eastAsia="仿宋_GB2312"/>
          <w:b/>
          <w:bCs/>
          <w:color w:val="000000"/>
          <w:kern w:val="0"/>
          <w:sz w:val="22"/>
          <w:szCs w:val="22"/>
        </w:rPr>
        <w:t>（ 2024年度）</w:t>
      </w:r>
    </w:p>
    <w:tbl>
      <w:tblPr>
        <w:tblStyle w:val="13"/>
        <w:tblW w:w="4967" w:type="pct"/>
        <w:tblInd w:w="0" w:type="dxa"/>
        <w:tblLayout w:type="fixed"/>
        <w:tblCellMar>
          <w:top w:w="0" w:type="dxa"/>
          <w:left w:w="108" w:type="dxa"/>
          <w:bottom w:w="0" w:type="dxa"/>
          <w:right w:w="108" w:type="dxa"/>
        </w:tblCellMar>
      </w:tblPr>
      <w:tblGrid>
        <w:gridCol w:w="916"/>
        <w:gridCol w:w="1294"/>
        <w:gridCol w:w="1209"/>
        <w:gridCol w:w="1395"/>
        <w:gridCol w:w="880"/>
        <w:gridCol w:w="1163"/>
        <w:gridCol w:w="926"/>
        <w:gridCol w:w="836"/>
        <w:gridCol w:w="881"/>
        <w:gridCol w:w="774"/>
        <w:gridCol w:w="1033"/>
        <w:gridCol w:w="732"/>
        <w:gridCol w:w="1019"/>
        <w:gridCol w:w="1022"/>
      </w:tblGrid>
      <w:tr w14:paraId="46523D69">
        <w:tblPrEx>
          <w:tblCellMar>
            <w:top w:w="0" w:type="dxa"/>
            <w:left w:w="108" w:type="dxa"/>
            <w:bottom w:w="0" w:type="dxa"/>
            <w:right w:w="108" w:type="dxa"/>
          </w:tblCellMar>
        </w:tblPrEx>
        <w:trPr>
          <w:trHeight w:val="288" w:hRule="atLeast"/>
        </w:trPr>
        <w:tc>
          <w:tcPr>
            <w:tcW w:w="78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AC298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项目名称</w:t>
            </w:r>
          </w:p>
        </w:tc>
        <w:tc>
          <w:tcPr>
            <w:tcW w:w="4215" w:type="pct"/>
            <w:gridSpan w:val="12"/>
            <w:tcBorders>
              <w:top w:val="single" w:color="auto" w:sz="4" w:space="0"/>
              <w:left w:val="single" w:color="auto" w:sz="4" w:space="0"/>
              <w:bottom w:val="single" w:color="auto" w:sz="4" w:space="0"/>
              <w:right w:val="single" w:color="auto" w:sz="4" w:space="0"/>
            </w:tcBorders>
            <w:shd w:val="clear" w:color="auto" w:fill="auto"/>
            <w:vAlign w:val="center"/>
          </w:tcPr>
          <w:p w14:paraId="288E8461">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2024年自治区基层政协补助经费</w:t>
            </w:r>
          </w:p>
        </w:tc>
      </w:tr>
      <w:tr w14:paraId="4886A26A">
        <w:tblPrEx>
          <w:tblCellMar>
            <w:top w:w="0" w:type="dxa"/>
            <w:left w:w="108" w:type="dxa"/>
            <w:bottom w:w="0" w:type="dxa"/>
            <w:right w:w="108" w:type="dxa"/>
          </w:tblCellMar>
        </w:tblPrEx>
        <w:trPr>
          <w:trHeight w:val="288" w:hRule="atLeast"/>
        </w:trPr>
        <w:tc>
          <w:tcPr>
            <w:tcW w:w="78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64783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主管部门</w:t>
            </w:r>
          </w:p>
        </w:tc>
        <w:tc>
          <w:tcPr>
            <w:tcW w:w="1978"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2F6AF2FB">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中国人民政治协商会议和硕县委员会</w:t>
            </w:r>
          </w:p>
        </w:tc>
        <w:tc>
          <w:tcPr>
            <w:tcW w:w="61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71C3E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实施单位</w:t>
            </w:r>
          </w:p>
        </w:tc>
        <w:tc>
          <w:tcPr>
            <w:tcW w:w="1627"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A603D34">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中国人民政治协商会议和硕县委员会</w:t>
            </w:r>
          </w:p>
        </w:tc>
      </w:tr>
      <w:tr w14:paraId="588539A6">
        <w:tblPrEx>
          <w:tblCellMar>
            <w:top w:w="0" w:type="dxa"/>
            <w:left w:w="108" w:type="dxa"/>
            <w:bottom w:w="0" w:type="dxa"/>
            <w:right w:w="108" w:type="dxa"/>
          </w:tblCellMar>
        </w:tblPrEx>
        <w:trPr>
          <w:trHeight w:val="288" w:hRule="atLeast"/>
        </w:trPr>
        <w:tc>
          <w:tcPr>
            <w:tcW w:w="784"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DE247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项目资金</w:t>
            </w:r>
            <w:r>
              <w:rPr>
                <w:rFonts w:hint="eastAsia"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（万元）</w:t>
            </w:r>
          </w:p>
        </w:tc>
        <w:tc>
          <w:tcPr>
            <w:tcW w:w="9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B22C97">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资金来源</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459130D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年初预算数</w:t>
            </w:r>
          </w:p>
        </w:tc>
        <w:tc>
          <w:tcPr>
            <w:tcW w:w="7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50F84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全年预算数</w:t>
            </w:r>
          </w:p>
        </w:tc>
        <w:tc>
          <w:tcPr>
            <w:tcW w:w="61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F720C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全年执行数</w:t>
            </w:r>
          </w:p>
        </w:tc>
        <w:tc>
          <w:tcPr>
            <w:tcW w:w="64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975AC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分值权重</w:t>
            </w:r>
          </w:p>
        </w:tc>
        <w:tc>
          <w:tcPr>
            <w:tcW w:w="62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61F39E">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执行率</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5000B72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得分</w:t>
            </w:r>
          </w:p>
        </w:tc>
      </w:tr>
      <w:tr w14:paraId="15C9808D">
        <w:tblPrEx>
          <w:tblCellMar>
            <w:top w:w="0" w:type="dxa"/>
            <w:left w:w="108" w:type="dxa"/>
            <w:bottom w:w="0" w:type="dxa"/>
            <w:right w:w="108" w:type="dxa"/>
          </w:tblCellMar>
        </w:tblPrEx>
        <w:trPr>
          <w:trHeight w:val="288" w:hRule="atLeast"/>
        </w:trPr>
        <w:tc>
          <w:tcPr>
            <w:tcW w:w="78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650E1C">
            <w:pPr>
              <w:jc w:val="center"/>
              <w:rPr>
                <w:rFonts w:ascii="仿宋_GB2312" w:hAnsi="仿宋_GB2312" w:eastAsia="仿宋_GB2312" w:cs="仿宋_GB2312"/>
                <w:color w:val="000000"/>
                <w:sz w:val="18"/>
                <w:szCs w:val="18"/>
              </w:rPr>
            </w:pPr>
          </w:p>
        </w:tc>
        <w:tc>
          <w:tcPr>
            <w:tcW w:w="9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6EB29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年度资金总额</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407E71F2">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7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DAE04B">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61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642E79">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4.97</w:t>
            </w:r>
          </w:p>
        </w:tc>
        <w:tc>
          <w:tcPr>
            <w:tcW w:w="64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175DD3">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10.00</w:t>
            </w:r>
          </w:p>
        </w:tc>
        <w:tc>
          <w:tcPr>
            <w:tcW w:w="62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AFE2E4">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99.40%</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78AC243B">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9.94</w:t>
            </w:r>
          </w:p>
        </w:tc>
      </w:tr>
      <w:tr w14:paraId="7095ED06">
        <w:tblPrEx>
          <w:tblCellMar>
            <w:top w:w="0" w:type="dxa"/>
            <w:left w:w="108" w:type="dxa"/>
            <w:bottom w:w="0" w:type="dxa"/>
            <w:right w:w="108" w:type="dxa"/>
          </w:tblCellMar>
        </w:tblPrEx>
        <w:trPr>
          <w:trHeight w:val="288" w:hRule="atLeast"/>
        </w:trPr>
        <w:tc>
          <w:tcPr>
            <w:tcW w:w="78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4265FB">
            <w:pPr>
              <w:jc w:val="center"/>
              <w:rPr>
                <w:rFonts w:ascii="仿宋_GB2312" w:hAnsi="仿宋_GB2312" w:eastAsia="仿宋_GB2312" w:cs="仿宋_GB2312"/>
                <w:color w:val="000000"/>
                <w:sz w:val="18"/>
                <w:szCs w:val="18"/>
              </w:rPr>
            </w:pPr>
          </w:p>
        </w:tc>
        <w:tc>
          <w:tcPr>
            <w:tcW w:w="92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095E5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其中：当年财政拨款</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363DEB54">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74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D2E47B">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61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9FE600">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4.97</w:t>
            </w:r>
          </w:p>
        </w:tc>
        <w:tc>
          <w:tcPr>
            <w:tcW w:w="64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8C822D">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62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81FDEC">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72D07960">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r>
      <w:tr w14:paraId="7FE27FB6">
        <w:tblPrEx>
          <w:tblCellMar>
            <w:top w:w="0" w:type="dxa"/>
            <w:left w:w="108" w:type="dxa"/>
            <w:bottom w:w="0" w:type="dxa"/>
            <w:right w:w="108" w:type="dxa"/>
          </w:tblCellMar>
        </w:tblPrEx>
        <w:trPr>
          <w:trHeight w:val="288" w:hRule="atLeast"/>
        </w:trPr>
        <w:tc>
          <w:tcPr>
            <w:tcW w:w="784" w:type="pct"/>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415631">
            <w:pPr>
              <w:jc w:val="center"/>
              <w:rPr>
                <w:rFonts w:ascii="仿宋_GB2312" w:hAnsi="仿宋_GB2312" w:eastAsia="仿宋_GB2312" w:cs="仿宋_GB2312"/>
                <w:color w:val="000000"/>
                <w:sz w:val="18"/>
                <w:szCs w:val="18"/>
              </w:rPr>
            </w:pPr>
          </w:p>
        </w:tc>
        <w:tc>
          <w:tcPr>
            <w:tcW w:w="924" w:type="pct"/>
            <w:gridSpan w:val="2"/>
            <w:tcBorders>
              <w:top w:val="single" w:color="auto" w:sz="4" w:space="0"/>
              <w:left w:val="single" w:color="auto" w:sz="4" w:space="0"/>
              <w:bottom w:val="nil"/>
              <w:right w:val="single" w:color="auto" w:sz="4" w:space="0"/>
            </w:tcBorders>
            <w:shd w:val="clear" w:color="auto" w:fill="auto"/>
            <w:vAlign w:val="center"/>
          </w:tcPr>
          <w:p w14:paraId="098F8D2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其他资金</w:t>
            </w:r>
          </w:p>
        </w:tc>
        <w:tc>
          <w:tcPr>
            <w:tcW w:w="312" w:type="pct"/>
            <w:tcBorders>
              <w:top w:val="single" w:color="auto" w:sz="4" w:space="0"/>
              <w:left w:val="single" w:color="auto" w:sz="4" w:space="0"/>
              <w:bottom w:val="nil"/>
              <w:right w:val="single" w:color="auto" w:sz="4" w:space="0"/>
            </w:tcBorders>
            <w:shd w:val="clear" w:color="auto" w:fill="auto"/>
            <w:vAlign w:val="center"/>
          </w:tcPr>
          <w:p w14:paraId="745F282E">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0</w:t>
            </w:r>
          </w:p>
        </w:tc>
        <w:tc>
          <w:tcPr>
            <w:tcW w:w="741" w:type="pct"/>
            <w:gridSpan w:val="2"/>
            <w:tcBorders>
              <w:top w:val="single" w:color="auto" w:sz="4" w:space="0"/>
              <w:left w:val="single" w:color="auto" w:sz="4" w:space="0"/>
              <w:bottom w:val="nil"/>
              <w:right w:val="single" w:color="auto" w:sz="4" w:space="0"/>
            </w:tcBorders>
            <w:shd w:val="clear" w:color="auto" w:fill="auto"/>
            <w:vAlign w:val="center"/>
          </w:tcPr>
          <w:p w14:paraId="08D7354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0</w:t>
            </w:r>
          </w:p>
        </w:tc>
        <w:tc>
          <w:tcPr>
            <w:tcW w:w="610" w:type="pct"/>
            <w:gridSpan w:val="2"/>
            <w:tcBorders>
              <w:top w:val="single" w:color="auto" w:sz="4" w:space="0"/>
              <w:left w:val="single" w:color="auto" w:sz="4" w:space="0"/>
              <w:bottom w:val="nil"/>
              <w:right w:val="single" w:color="auto" w:sz="4" w:space="0"/>
            </w:tcBorders>
            <w:shd w:val="clear" w:color="auto" w:fill="auto"/>
            <w:vAlign w:val="center"/>
          </w:tcPr>
          <w:p w14:paraId="52B95081">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0</w:t>
            </w:r>
          </w:p>
        </w:tc>
        <w:tc>
          <w:tcPr>
            <w:tcW w:w="64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F678C2">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62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E68A1B">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2CF652CB">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r>
      <w:tr w14:paraId="177174BE">
        <w:tblPrEx>
          <w:tblCellMar>
            <w:top w:w="0" w:type="dxa"/>
            <w:left w:w="108" w:type="dxa"/>
            <w:bottom w:w="0" w:type="dxa"/>
            <w:right w:w="108" w:type="dxa"/>
          </w:tblCellMar>
        </w:tblPrEx>
        <w:trPr>
          <w:trHeight w:val="288" w:hRule="atLeast"/>
        </w:trPr>
        <w:tc>
          <w:tcPr>
            <w:tcW w:w="32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D7F3D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年度总体目标</w:t>
            </w:r>
          </w:p>
        </w:tc>
        <w:tc>
          <w:tcPr>
            <w:tcW w:w="3047"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09216E5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总体目标</w:t>
            </w:r>
          </w:p>
        </w:tc>
        <w:tc>
          <w:tcPr>
            <w:tcW w:w="1627"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4DA7C7F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总体目标完成情况</w:t>
            </w:r>
          </w:p>
        </w:tc>
      </w:tr>
      <w:tr w14:paraId="65B71201">
        <w:tblPrEx>
          <w:tblCellMar>
            <w:top w:w="0" w:type="dxa"/>
            <w:left w:w="108" w:type="dxa"/>
            <w:bottom w:w="0" w:type="dxa"/>
            <w:right w:w="108" w:type="dxa"/>
          </w:tblCellMar>
        </w:tblPrEx>
        <w:trPr>
          <w:trHeight w:val="590"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8474C2">
            <w:pPr>
              <w:jc w:val="center"/>
              <w:rPr>
                <w:rFonts w:ascii="仿宋_GB2312" w:hAnsi="仿宋_GB2312" w:eastAsia="仿宋_GB2312" w:cs="仿宋_GB2312"/>
                <w:color w:val="000000"/>
                <w:sz w:val="18"/>
                <w:szCs w:val="18"/>
              </w:rPr>
            </w:pPr>
          </w:p>
        </w:tc>
        <w:tc>
          <w:tcPr>
            <w:tcW w:w="3047" w:type="pct"/>
            <w:gridSpan w:val="8"/>
            <w:tcBorders>
              <w:top w:val="single" w:color="auto" w:sz="4" w:space="0"/>
              <w:left w:val="single" w:color="auto" w:sz="4" w:space="0"/>
              <w:bottom w:val="single" w:color="auto" w:sz="4" w:space="0"/>
              <w:right w:val="single" w:color="auto" w:sz="4" w:space="0"/>
            </w:tcBorders>
            <w:shd w:val="clear" w:color="auto" w:fill="auto"/>
            <w:vAlign w:val="center"/>
          </w:tcPr>
          <w:p w14:paraId="6D2A2E3C">
            <w:pPr>
              <w:ind w:firstLine="360" w:firstLineChars="20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根据政协职能与参政议政、民主监督等文件要求，通过组织政协委员开展各种视察、调研、专题议政等各项履职活动，达到更好发挥专门协商机构作用，加强基层政协工作，保障105名政协委员在视察、委员调研等各项工作顺利开展，不断提高履职尽责的能力。</w:t>
            </w:r>
          </w:p>
        </w:tc>
        <w:tc>
          <w:tcPr>
            <w:tcW w:w="1627" w:type="pct"/>
            <w:gridSpan w:val="5"/>
            <w:tcBorders>
              <w:top w:val="single" w:color="auto" w:sz="4" w:space="0"/>
              <w:left w:val="single" w:color="auto" w:sz="4" w:space="0"/>
              <w:bottom w:val="single" w:color="auto" w:sz="4" w:space="0"/>
              <w:right w:val="single" w:color="auto" w:sz="4" w:space="0"/>
            </w:tcBorders>
            <w:shd w:val="clear" w:color="auto" w:fill="auto"/>
            <w:vAlign w:val="center"/>
          </w:tcPr>
          <w:p w14:paraId="698EFD55">
            <w:pPr>
              <w:ind w:firstLine="360" w:firstLineChars="200"/>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通过组织105政协委员开展各种视察、调研、专题议政等各项履职活动，达到更好发挥专门协商机构作用。</w:t>
            </w:r>
          </w:p>
        </w:tc>
      </w:tr>
      <w:tr w14:paraId="399BE57B">
        <w:tblPrEx>
          <w:tblCellMar>
            <w:top w:w="0" w:type="dxa"/>
            <w:left w:w="108" w:type="dxa"/>
            <w:bottom w:w="0" w:type="dxa"/>
            <w:right w:w="108" w:type="dxa"/>
          </w:tblCellMar>
        </w:tblPrEx>
        <w:trPr>
          <w:trHeight w:val="600" w:hRule="atLeast"/>
        </w:trPr>
        <w:tc>
          <w:tcPr>
            <w:tcW w:w="32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578D0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绩效指标</w:t>
            </w:r>
          </w:p>
        </w:tc>
        <w:tc>
          <w:tcPr>
            <w:tcW w:w="458" w:type="pct"/>
            <w:tcBorders>
              <w:top w:val="single" w:color="auto" w:sz="4" w:space="0"/>
              <w:left w:val="single" w:color="auto" w:sz="4" w:space="0"/>
              <w:bottom w:val="single" w:color="auto" w:sz="4" w:space="0"/>
              <w:right w:val="single" w:color="auto" w:sz="4" w:space="0"/>
            </w:tcBorders>
            <w:shd w:val="clear" w:color="auto" w:fill="auto"/>
            <w:vAlign w:val="center"/>
          </w:tcPr>
          <w:p w14:paraId="61CDE52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一级指标</w:t>
            </w: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13BEBC2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二级指标</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14:paraId="75956701">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三级指标</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2985E32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指标值</w:t>
            </w:r>
          </w:p>
        </w:tc>
        <w:tc>
          <w:tcPr>
            <w:tcW w:w="413" w:type="pct"/>
            <w:tcBorders>
              <w:top w:val="single" w:color="auto" w:sz="4" w:space="0"/>
              <w:left w:val="single" w:color="auto" w:sz="4" w:space="0"/>
              <w:bottom w:val="single" w:color="auto" w:sz="4" w:space="0"/>
              <w:right w:val="single" w:color="auto" w:sz="4" w:space="0"/>
            </w:tcBorders>
            <w:shd w:val="clear" w:color="auto" w:fill="auto"/>
            <w:vAlign w:val="center"/>
          </w:tcPr>
          <w:p w14:paraId="10A22CF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指标值设置依据</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5D5A9E1D">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上年完成值</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1DF33E1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指标分值权重</w:t>
            </w: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0A2E978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指标赋分规则</w:t>
            </w: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1ABA2DB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佐证资料</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4B9516C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指标实际完成值</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6168EAC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完成率</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03095184">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指标得分</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5E3087A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偏差原因分析及改进措施</w:t>
            </w:r>
          </w:p>
        </w:tc>
      </w:tr>
      <w:tr w14:paraId="13F40E85">
        <w:tblPrEx>
          <w:tblCellMar>
            <w:top w:w="0" w:type="dxa"/>
            <w:left w:w="108" w:type="dxa"/>
            <w:bottom w:w="0" w:type="dxa"/>
            <w:right w:w="108" w:type="dxa"/>
          </w:tblCellMar>
        </w:tblPrEx>
        <w:trPr>
          <w:trHeight w:val="426"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580A9A">
            <w:pPr>
              <w:jc w:val="center"/>
              <w:rPr>
                <w:rFonts w:ascii="仿宋_GB2312" w:hAnsi="仿宋_GB2312" w:eastAsia="仿宋_GB2312" w:cs="仿宋_GB2312"/>
                <w:color w:val="000000"/>
                <w:sz w:val="18"/>
                <w:szCs w:val="18"/>
              </w:rPr>
            </w:pPr>
            <w:bookmarkStart w:id="36" w:name="OLE_LINK40" w:colFirst="2" w:colLast="13"/>
          </w:p>
        </w:tc>
        <w:tc>
          <w:tcPr>
            <w:tcW w:w="458"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DAE9A2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产出指标</w:t>
            </w:r>
          </w:p>
        </w:tc>
        <w:tc>
          <w:tcPr>
            <w:tcW w:w="429" w:type="pct"/>
            <w:tcBorders>
              <w:top w:val="single" w:color="auto" w:sz="4" w:space="0"/>
              <w:left w:val="single" w:color="auto" w:sz="4" w:space="0"/>
              <w:bottom w:val="nil"/>
              <w:right w:val="single" w:color="auto" w:sz="4" w:space="0"/>
            </w:tcBorders>
            <w:shd w:val="clear" w:color="auto" w:fill="auto"/>
            <w:noWrap/>
            <w:vAlign w:val="center"/>
          </w:tcPr>
          <w:p w14:paraId="6E7C570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数量指标</w:t>
            </w:r>
          </w:p>
        </w:tc>
        <w:tc>
          <w:tcPr>
            <w:tcW w:w="495" w:type="pct"/>
            <w:tcBorders>
              <w:top w:val="single" w:color="auto" w:sz="4" w:space="0"/>
              <w:left w:val="nil"/>
              <w:bottom w:val="single" w:color="auto" w:sz="4" w:space="0"/>
              <w:right w:val="single" w:color="auto" w:sz="4" w:space="0"/>
            </w:tcBorders>
            <w:shd w:val="clear" w:color="auto" w:fill="auto"/>
            <w:vAlign w:val="center"/>
          </w:tcPr>
          <w:p w14:paraId="3228D36D">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保障政协委员人数</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47B8DAE0">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≥105人</w:t>
            </w:r>
          </w:p>
        </w:tc>
        <w:tc>
          <w:tcPr>
            <w:tcW w:w="413" w:type="pct"/>
            <w:tcBorders>
              <w:top w:val="single" w:color="auto" w:sz="4" w:space="0"/>
              <w:left w:val="single" w:color="auto" w:sz="4" w:space="0"/>
              <w:bottom w:val="single" w:color="auto" w:sz="4" w:space="0"/>
              <w:right w:val="single" w:color="auto" w:sz="4" w:space="0"/>
            </w:tcBorders>
            <w:shd w:val="clear" w:color="auto" w:fill="auto"/>
            <w:vAlign w:val="center"/>
          </w:tcPr>
          <w:p w14:paraId="753E0933">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39BCC845">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05F001E1">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586FA0A6">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按照正常比例赋分</w:t>
            </w: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5E71356D">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4FD2C4FF">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＝105人</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5E0E9196">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260D575F">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bookmarkEnd w:id="36"/>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49377EE3">
            <w:pPr>
              <w:jc w:val="center"/>
              <w:rPr>
                <w:rFonts w:ascii="仿宋_GB2312" w:hAnsi="仿宋_GB2312" w:eastAsia="仿宋_GB2312" w:cs="仿宋_GB2312"/>
                <w:color w:val="000000"/>
                <w:sz w:val="18"/>
                <w:szCs w:val="18"/>
              </w:rPr>
            </w:pPr>
          </w:p>
        </w:tc>
      </w:tr>
      <w:tr w14:paraId="4D09A3C5">
        <w:tblPrEx>
          <w:tblCellMar>
            <w:top w:w="0" w:type="dxa"/>
            <w:left w:w="108" w:type="dxa"/>
            <w:bottom w:w="0" w:type="dxa"/>
            <w:right w:w="108" w:type="dxa"/>
          </w:tblCellMar>
        </w:tblPrEx>
        <w:trPr>
          <w:trHeight w:val="288"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B47241">
            <w:pPr>
              <w:jc w:val="center"/>
              <w:rPr>
                <w:rFonts w:ascii="仿宋_GB2312" w:hAnsi="仿宋_GB2312" w:eastAsia="仿宋_GB2312" w:cs="仿宋_GB2312"/>
                <w:color w:val="000000"/>
                <w:sz w:val="18"/>
                <w:szCs w:val="18"/>
              </w:rPr>
            </w:pPr>
            <w:bookmarkStart w:id="37" w:name="OLE_LINK42" w:colFirst="4" w:colLast="13"/>
          </w:p>
        </w:tc>
        <w:tc>
          <w:tcPr>
            <w:tcW w:w="458"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7FDC21F">
            <w:pPr>
              <w:jc w:val="center"/>
              <w:rPr>
                <w:rFonts w:ascii="仿宋_GB2312" w:hAnsi="仿宋_GB2312" w:eastAsia="仿宋_GB2312" w:cs="仿宋_GB2312"/>
                <w:color w:val="000000"/>
                <w:sz w:val="18"/>
                <w:szCs w:val="18"/>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2F7C808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数量指标</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14:paraId="2E01F871">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基层政协数量</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5FB76F3B">
            <w:pPr>
              <w:jc w:val="center"/>
              <w:rPr>
                <w:rFonts w:ascii="仿宋_GB2312" w:hAnsi="仿宋_GB2312" w:eastAsia="仿宋_GB2312" w:cs="仿宋_GB2312"/>
                <w:color w:val="000000"/>
                <w:sz w:val="18"/>
                <w:szCs w:val="18"/>
              </w:rPr>
            </w:pPr>
            <w:r>
              <w:rPr>
                <w:rFonts w:hint="eastAsia" w:ascii="Arial" w:hAnsi="Arial" w:eastAsia="仿宋_GB2312" w:cs="Arial"/>
                <w:color w:val="000000"/>
                <w:sz w:val="18"/>
                <w:szCs w:val="18"/>
              </w:rPr>
              <w:t>＝1个</w:t>
            </w:r>
          </w:p>
        </w:tc>
        <w:tc>
          <w:tcPr>
            <w:tcW w:w="413" w:type="pct"/>
            <w:tcBorders>
              <w:top w:val="single" w:color="auto" w:sz="4" w:space="0"/>
              <w:left w:val="single" w:color="auto" w:sz="4" w:space="0"/>
              <w:bottom w:val="single" w:color="auto" w:sz="4" w:space="0"/>
              <w:right w:val="single" w:color="auto" w:sz="4" w:space="0"/>
            </w:tcBorders>
            <w:shd w:val="clear" w:color="auto" w:fill="auto"/>
            <w:vAlign w:val="center"/>
          </w:tcPr>
          <w:p w14:paraId="6499E4C6">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5EE9312D">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3B5781EF">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0FE7A4B0">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按照正常比例赋分</w:t>
            </w: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15086E8F">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原始凭证</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7089BB6B">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＝1个</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418CFE7A">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5DBABC53">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bookmarkEnd w:id="37"/>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34A608DD">
            <w:pPr>
              <w:jc w:val="center"/>
              <w:rPr>
                <w:rFonts w:ascii="仿宋_GB2312" w:hAnsi="仿宋_GB2312" w:eastAsia="仿宋_GB2312" w:cs="仿宋_GB2312"/>
                <w:color w:val="000000"/>
                <w:sz w:val="18"/>
                <w:szCs w:val="18"/>
              </w:rPr>
            </w:pPr>
          </w:p>
        </w:tc>
      </w:tr>
      <w:tr w14:paraId="61B157DF">
        <w:tblPrEx>
          <w:tblCellMar>
            <w:top w:w="0" w:type="dxa"/>
            <w:left w:w="108" w:type="dxa"/>
            <w:bottom w:w="0" w:type="dxa"/>
            <w:right w:w="108" w:type="dxa"/>
          </w:tblCellMar>
        </w:tblPrEx>
        <w:trPr>
          <w:trHeight w:val="716"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E806C8">
            <w:pPr>
              <w:jc w:val="center"/>
              <w:rPr>
                <w:rFonts w:ascii="仿宋_GB2312" w:hAnsi="仿宋_GB2312" w:eastAsia="仿宋_GB2312" w:cs="仿宋_GB2312"/>
                <w:color w:val="000000"/>
                <w:sz w:val="18"/>
                <w:szCs w:val="18"/>
              </w:rPr>
            </w:pPr>
            <w:bookmarkStart w:id="38" w:name="OLE_LINK43" w:colFirst="3" w:colLast="12"/>
          </w:p>
        </w:tc>
        <w:tc>
          <w:tcPr>
            <w:tcW w:w="458"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816389D">
            <w:pPr>
              <w:jc w:val="center"/>
              <w:rPr>
                <w:rFonts w:ascii="仿宋_GB2312" w:hAnsi="仿宋_GB2312" w:eastAsia="仿宋_GB2312" w:cs="仿宋_GB2312"/>
                <w:color w:val="000000"/>
                <w:sz w:val="18"/>
                <w:szCs w:val="18"/>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2E73FBC8">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质量指标</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14:paraId="3A735578">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拨付资金使用合格率</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13E68D67">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413" w:type="pct"/>
            <w:tcBorders>
              <w:top w:val="single" w:color="auto" w:sz="4" w:space="0"/>
              <w:left w:val="single" w:color="auto" w:sz="4" w:space="0"/>
              <w:bottom w:val="single" w:color="auto" w:sz="4" w:space="0"/>
              <w:right w:val="single" w:color="auto" w:sz="4" w:space="0"/>
            </w:tcBorders>
            <w:shd w:val="clear" w:color="auto" w:fill="auto"/>
            <w:vAlign w:val="center"/>
          </w:tcPr>
          <w:p w14:paraId="2D4F84C4">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3F34D0D2">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0AC3C4FF">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7CD4A87D">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按照正常比例赋分</w:t>
            </w: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224E3F6D">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0440BFF6">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1BEB6594">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7D92B330">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bookmarkEnd w:id="38"/>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58AEFB82">
            <w:pPr>
              <w:jc w:val="center"/>
              <w:rPr>
                <w:rFonts w:ascii="仿宋_GB2312" w:hAnsi="仿宋_GB2312" w:eastAsia="仿宋_GB2312" w:cs="仿宋_GB2312"/>
                <w:color w:val="000000"/>
                <w:sz w:val="18"/>
                <w:szCs w:val="18"/>
              </w:rPr>
            </w:pPr>
          </w:p>
        </w:tc>
      </w:tr>
      <w:tr w14:paraId="418096B1">
        <w:tblPrEx>
          <w:tblCellMar>
            <w:top w:w="0" w:type="dxa"/>
            <w:left w:w="108" w:type="dxa"/>
            <w:bottom w:w="0" w:type="dxa"/>
            <w:right w:w="108" w:type="dxa"/>
          </w:tblCellMar>
        </w:tblPrEx>
        <w:trPr>
          <w:trHeight w:val="716"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42DAEC7">
            <w:pPr>
              <w:jc w:val="center"/>
              <w:rPr>
                <w:rFonts w:ascii="仿宋_GB2312" w:hAnsi="仿宋_GB2312" w:eastAsia="仿宋_GB2312" w:cs="仿宋_GB2312"/>
                <w:color w:val="000000"/>
                <w:sz w:val="18"/>
                <w:szCs w:val="18"/>
              </w:rPr>
            </w:pPr>
            <w:bookmarkStart w:id="39" w:name="OLE_LINK45" w:colFirst="3" w:colLast="13"/>
          </w:p>
        </w:tc>
        <w:tc>
          <w:tcPr>
            <w:tcW w:w="458"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B10C4E9">
            <w:pPr>
              <w:jc w:val="center"/>
              <w:rPr>
                <w:rFonts w:ascii="仿宋_GB2312" w:hAnsi="仿宋_GB2312" w:eastAsia="仿宋_GB2312" w:cs="仿宋_GB2312"/>
                <w:color w:val="000000"/>
                <w:sz w:val="18"/>
                <w:szCs w:val="18"/>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3990FD5A">
            <w:pPr>
              <w:widowControl/>
              <w:jc w:val="center"/>
              <w:textAlignment w:val="center"/>
              <w:rPr>
                <w:rFonts w:ascii="仿宋_GB2312" w:hAnsi="仿宋_GB2312" w:eastAsia="仿宋_GB2312" w:cs="仿宋_GB2312"/>
                <w:color w:val="000000"/>
                <w:sz w:val="18"/>
                <w:szCs w:val="18"/>
              </w:rPr>
            </w:pPr>
            <w:bookmarkStart w:id="40" w:name="OLE_LINK41"/>
            <w:r>
              <w:rPr>
                <w:rFonts w:hint="eastAsia" w:ascii="仿宋_GB2312" w:hAnsi="仿宋_GB2312" w:eastAsia="仿宋_GB2312" w:cs="仿宋_GB2312"/>
                <w:color w:val="000000"/>
                <w:kern w:val="0"/>
                <w:sz w:val="18"/>
                <w:szCs w:val="18"/>
              </w:rPr>
              <w:t>质量指标</w:t>
            </w:r>
            <w:bookmarkEnd w:id="40"/>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14:paraId="1ADCBEFC">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补充基层政协经费覆盖率</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25AA5F6E">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413" w:type="pct"/>
            <w:tcBorders>
              <w:top w:val="single" w:color="auto" w:sz="4" w:space="0"/>
              <w:left w:val="single" w:color="auto" w:sz="4" w:space="0"/>
              <w:bottom w:val="single" w:color="auto" w:sz="4" w:space="0"/>
              <w:right w:val="single" w:color="auto" w:sz="4" w:space="0"/>
            </w:tcBorders>
            <w:shd w:val="clear" w:color="auto" w:fill="auto"/>
            <w:vAlign w:val="center"/>
          </w:tcPr>
          <w:p w14:paraId="707D6AD6">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6E06D1DE">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22819769">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33C2483F">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按照正常比例赋分</w:t>
            </w: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0751D107">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49F75C1E">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777A2D9F">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33705CA3">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bookmarkEnd w:id="39"/>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2B388896">
            <w:pPr>
              <w:jc w:val="center"/>
              <w:rPr>
                <w:rFonts w:ascii="仿宋_GB2312" w:hAnsi="仿宋_GB2312" w:eastAsia="仿宋_GB2312" w:cs="仿宋_GB2312"/>
                <w:color w:val="000000"/>
                <w:sz w:val="18"/>
                <w:szCs w:val="18"/>
              </w:rPr>
            </w:pPr>
          </w:p>
        </w:tc>
      </w:tr>
      <w:tr w14:paraId="3C258981">
        <w:tblPrEx>
          <w:tblCellMar>
            <w:top w:w="0" w:type="dxa"/>
            <w:left w:w="108" w:type="dxa"/>
            <w:bottom w:w="0" w:type="dxa"/>
            <w:right w:w="108" w:type="dxa"/>
          </w:tblCellMar>
        </w:tblPrEx>
        <w:trPr>
          <w:trHeight w:val="288"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6BC55CB">
            <w:pPr>
              <w:jc w:val="center"/>
              <w:rPr>
                <w:rFonts w:ascii="仿宋_GB2312" w:hAnsi="仿宋_GB2312" w:eastAsia="仿宋_GB2312" w:cs="仿宋_GB2312"/>
                <w:color w:val="000000"/>
                <w:sz w:val="18"/>
                <w:szCs w:val="18"/>
              </w:rPr>
            </w:pPr>
            <w:bookmarkStart w:id="41" w:name="OLE_LINK46" w:colFirst="3" w:colLast="13"/>
          </w:p>
        </w:tc>
        <w:tc>
          <w:tcPr>
            <w:tcW w:w="458"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81DBE08">
            <w:pPr>
              <w:jc w:val="center"/>
              <w:rPr>
                <w:rFonts w:ascii="仿宋_GB2312" w:hAnsi="仿宋_GB2312" w:eastAsia="仿宋_GB2312" w:cs="仿宋_GB2312"/>
                <w:color w:val="000000"/>
                <w:sz w:val="18"/>
                <w:szCs w:val="18"/>
              </w:rPr>
            </w:pPr>
          </w:p>
        </w:tc>
        <w:tc>
          <w:tcPr>
            <w:tcW w:w="429" w:type="pct"/>
            <w:tcBorders>
              <w:top w:val="single" w:color="auto" w:sz="4" w:space="0"/>
              <w:left w:val="single" w:color="auto" w:sz="4" w:space="0"/>
              <w:bottom w:val="nil"/>
              <w:right w:val="single" w:color="auto" w:sz="4" w:space="0"/>
            </w:tcBorders>
            <w:shd w:val="clear" w:color="auto" w:fill="auto"/>
            <w:noWrap/>
            <w:vAlign w:val="center"/>
          </w:tcPr>
          <w:p w14:paraId="3D6A5009">
            <w:pPr>
              <w:widowControl/>
              <w:jc w:val="center"/>
              <w:textAlignment w:val="center"/>
              <w:rPr>
                <w:rFonts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时效指标</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14:paraId="5DD7B449">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影响时间</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45F974A5">
            <w:pPr>
              <w:jc w:val="center"/>
              <w:rPr>
                <w:rFonts w:ascii="仿宋_GB2312" w:hAnsi="仿宋_GB2312" w:eastAsia="仿宋_GB2312" w:cs="仿宋_GB2312"/>
                <w:color w:val="000000"/>
                <w:sz w:val="18"/>
                <w:szCs w:val="18"/>
              </w:rPr>
            </w:pPr>
            <w:r>
              <w:rPr>
                <w:rFonts w:hint="eastAsia" w:ascii="Arial" w:hAnsi="Arial" w:eastAsia="仿宋_GB2312" w:cs="Arial"/>
                <w:color w:val="000000"/>
                <w:sz w:val="18"/>
                <w:szCs w:val="18"/>
              </w:rPr>
              <w:t>＝1年</w:t>
            </w:r>
          </w:p>
        </w:tc>
        <w:tc>
          <w:tcPr>
            <w:tcW w:w="413" w:type="pct"/>
            <w:tcBorders>
              <w:top w:val="single" w:color="auto" w:sz="4" w:space="0"/>
              <w:left w:val="single" w:color="auto" w:sz="4" w:space="0"/>
              <w:bottom w:val="single" w:color="auto" w:sz="4" w:space="0"/>
              <w:right w:val="single" w:color="auto" w:sz="4" w:space="0"/>
            </w:tcBorders>
            <w:shd w:val="clear" w:color="auto" w:fill="auto"/>
            <w:vAlign w:val="center"/>
          </w:tcPr>
          <w:p w14:paraId="48497C23">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67A20730">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59C61BBC">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4E1DFE9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按照正常比例</w:t>
            </w:r>
            <w:bookmarkStart w:id="42" w:name="OLE_LINK48"/>
            <w:r>
              <w:rPr>
                <w:rFonts w:hint="eastAsia" w:ascii="仿宋_GB2312" w:hAnsi="仿宋_GB2312" w:eastAsia="仿宋_GB2312" w:cs="仿宋_GB2312"/>
                <w:color w:val="000000"/>
                <w:sz w:val="18"/>
                <w:szCs w:val="18"/>
              </w:rPr>
              <w:t>赋分</w:t>
            </w:r>
            <w:bookmarkEnd w:id="42"/>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6A6BCF7A">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170A5665">
            <w:pPr>
              <w:jc w:val="center"/>
              <w:rPr>
                <w:rFonts w:ascii="仿宋_GB2312" w:hAnsi="仿宋_GB2312" w:eastAsia="仿宋_GB2312" w:cs="仿宋_GB2312"/>
                <w:color w:val="000000"/>
                <w:sz w:val="18"/>
                <w:szCs w:val="18"/>
              </w:rPr>
            </w:pPr>
            <w:r>
              <w:rPr>
                <w:rFonts w:hint="eastAsia" w:ascii="Arial" w:hAnsi="Arial" w:eastAsia="仿宋_GB2312" w:cs="Arial"/>
                <w:color w:val="000000"/>
                <w:sz w:val="18"/>
                <w:szCs w:val="18"/>
              </w:rPr>
              <w:t>＝1年</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58E55F3D">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2F330D44">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623A8CC4">
            <w:pPr>
              <w:jc w:val="center"/>
              <w:rPr>
                <w:rFonts w:ascii="仿宋_GB2312" w:hAnsi="仿宋_GB2312" w:eastAsia="仿宋_GB2312" w:cs="仿宋_GB2312"/>
                <w:color w:val="000000"/>
                <w:sz w:val="18"/>
                <w:szCs w:val="18"/>
              </w:rPr>
            </w:pPr>
          </w:p>
        </w:tc>
      </w:tr>
      <w:tr w14:paraId="713B4C7B">
        <w:tblPrEx>
          <w:tblCellMar>
            <w:top w:w="0" w:type="dxa"/>
            <w:left w:w="108" w:type="dxa"/>
            <w:bottom w:w="0" w:type="dxa"/>
            <w:right w:w="108" w:type="dxa"/>
          </w:tblCellMar>
        </w:tblPrEx>
        <w:trPr>
          <w:trHeight w:val="288"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3B40DDC">
            <w:pPr>
              <w:jc w:val="center"/>
              <w:rPr>
                <w:rFonts w:ascii="仿宋_GB2312" w:hAnsi="仿宋_GB2312" w:eastAsia="仿宋_GB2312" w:cs="仿宋_GB2312"/>
                <w:color w:val="000000"/>
                <w:sz w:val="18"/>
                <w:szCs w:val="18"/>
              </w:rPr>
            </w:pPr>
          </w:p>
        </w:tc>
        <w:tc>
          <w:tcPr>
            <w:tcW w:w="458"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6C67934">
            <w:pPr>
              <w:jc w:val="center"/>
              <w:rPr>
                <w:rFonts w:ascii="仿宋_GB2312" w:hAnsi="仿宋_GB2312" w:eastAsia="仿宋_GB2312" w:cs="仿宋_GB2312"/>
                <w:color w:val="000000"/>
                <w:sz w:val="18"/>
                <w:szCs w:val="18"/>
              </w:rPr>
            </w:pPr>
          </w:p>
        </w:tc>
        <w:tc>
          <w:tcPr>
            <w:tcW w:w="429" w:type="pct"/>
            <w:tcBorders>
              <w:top w:val="single" w:color="auto" w:sz="4" w:space="0"/>
              <w:left w:val="single" w:color="auto" w:sz="4" w:space="0"/>
              <w:bottom w:val="nil"/>
              <w:right w:val="single" w:color="auto" w:sz="4" w:space="0"/>
            </w:tcBorders>
            <w:shd w:val="clear" w:color="auto" w:fill="auto"/>
            <w:noWrap/>
            <w:vAlign w:val="center"/>
          </w:tcPr>
          <w:p w14:paraId="4A5C0648">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时效指标</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14:paraId="6B40BBA9">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资金拨付及时率</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6CE1536A">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413" w:type="pct"/>
            <w:tcBorders>
              <w:top w:val="single" w:color="auto" w:sz="4" w:space="0"/>
              <w:left w:val="single" w:color="auto" w:sz="4" w:space="0"/>
              <w:bottom w:val="single" w:color="auto" w:sz="4" w:space="0"/>
              <w:right w:val="single" w:color="auto" w:sz="4" w:space="0"/>
            </w:tcBorders>
            <w:shd w:val="clear" w:color="auto" w:fill="auto"/>
            <w:vAlign w:val="center"/>
          </w:tcPr>
          <w:p w14:paraId="653038F4">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6341A0E7">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6506B8E7">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4020B1B7">
            <w:pPr>
              <w:jc w:val="center"/>
              <w:rPr>
                <w:rFonts w:ascii="仿宋_GB2312" w:hAnsi="仿宋_GB2312" w:eastAsia="仿宋_GB2312" w:cs="仿宋_GB2312"/>
                <w:color w:val="000000"/>
                <w:sz w:val="18"/>
                <w:szCs w:val="18"/>
              </w:rPr>
            </w:pPr>
            <w:bookmarkStart w:id="43" w:name="OLE_LINK50"/>
            <w:r>
              <w:rPr>
                <w:rFonts w:hint="eastAsia" w:ascii="仿宋_GB2312" w:hAnsi="仿宋_GB2312" w:eastAsia="仿宋_GB2312" w:cs="仿宋_GB2312"/>
                <w:color w:val="000000"/>
                <w:sz w:val="18"/>
                <w:szCs w:val="18"/>
              </w:rPr>
              <w:t>按照正常比例赋分</w:t>
            </w:r>
            <w:bookmarkEnd w:id="43"/>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34DD41D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1E82123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4C4508C1">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08FD977A">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bookmarkEnd w:id="41"/>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55B2BBE9">
            <w:pPr>
              <w:jc w:val="center"/>
              <w:rPr>
                <w:rFonts w:ascii="仿宋_GB2312" w:hAnsi="仿宋_GB2312" w:eastAsia="仿宋_GB2312" w:cs="仿宋_GB2312"/>
                <w:color w:val="000000"/>
                <w:sz w:val="18"/>
                <w:szCs w:val="18"/>
              </w:rPr>
            </w:pPr>
          </w:p>
        </w:tc>
      </w:tr>
      <w:tr w14:paraId="007E399A">
        <w:tblPrEx>
          <w:tblCellMar>
            <w:top w:w="0" w:type="dxa"/>
            <w:left w:w="108" w:type="dxa"/>
            <w:bottom w:w="0" w:type="dxa"/>
            <w:right w:w="108" w:type="dxa"/>
          </w:tblCellMar>
        </w:tblPrEx>
        <w:trPr>
          <w:trHeight w:val="801"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4323B81">
            <w:pPr>
              <w:jc w:val="center"/>
              <w:rPr>
                <w:rFonts w:ascii="仿宋_GB2312" w:hAnsi="仿宋_GB2312" w:eastAsia="仿宋_GB2312" w:cs="仿宋_GB2312"/>
                <w:color w:val="000000"/>
                <w:sz w:val="18"/>
                <w:szCs w:val="18"/>
              </w:rPr>
            </w:pPr>
            <w:bookmarkStart w:id="44" w:name="OLE_LINK47" w:colFirst="2" w:colLast="13"/>
            <w:bookmarkStart w:id="45" w:name="OLE_LINK49" w:colFirst="3" w:colLast="13"/>
          </w:p>
        </w:tc>
        <w:tc>
          <w:tcPr>
            <w:tcW w:w="458"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3C0BF96">
            <w:pPr>
              <w:jc w:val="center"/>
              <w:rPr>
                <w:rFonts w:ascii="仿宋_GB2312" w:hAnsi="仿宋_GB2312" w:eastAsia="仿宋_GB2312" w:cs="仿宋_GB2312"/>
                <w:color w:val="000000"/>
                <w:sz w:val="18"/>
                <w:szCs w:val="18"/>
              </w:rPr>
            </w:pPr>
          </w:p>
        </w:tc>
        <w:tc>
          <w:tcPr>
            <w:tcW w:w="429" w:type="pct"/>
            <w:tcBorders>
              <w:top w:val="single" w:color="auto" w:sz="4" w:space="0"/>
              <w:left w:val="single" w:color="auto" w:sz="4" w:space="0"/>
              <w:bottom w:val="nil"/>
              <w:right w:val="single" w:color="auto" w:sz="4" w:space="0"/>
            </w:tcBorders>
            <w:shd w:val="clear" w:color="auto" w:fill="auto"/>
            <w:noWrap/>
            <w:vAlign w:val="center"/>
          </w:tcPr>
          <w:p w14:paraId="4A77B4DF">
            <w:pPr>
              <w:widowControl/>
              <w:jc w:val="center"/>
              <w:textAlignment w:val="center"/>
              <w:rPr>
                <w:rFonts w:ascii="仿宋_GB2312" w:hAnsi="仿宋_GB2312" w:eastAsia="仿宋_GB2312" w:cs="仿宋_GB2312"/>
                <w:color w:val="000000"/>
                <w:sz w:val="18"/>
                <w:szCs w:val="18"/>
              </w:rPr>
            </w:pPr>
            <w:bookmarkStart w:id="46" w:name="OLE_LINK44"/>
            <w:r>
              <w:rPr>
                <w:rFonts w:hint="eastAsia" w:ascii="仿宋_GB2312" w:hAnsi="仿宋_GB2312" w:eastAsia="仿宋_GB2312" w:cs="仿宋_GB2312"/>
                <w:color w:val="000000"/>
                <w:kern w:val="0"/>
                <w:sz w:val="18"/>
                <w:szCs w:val="18"/>
              </w:rPr>
              <w:t>时效指标</w:t>
            </w:r>
            <w:bookmarkEnd w:id="46"/>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14:paraId="0137855D">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公用经费支付及时率</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35C6C471">
            <w:pPr>
              <w:jc w:val="center"/>
              <w:rPr>
                <w:rFonts w:ascii="仿宋_GB2312" w:hAnsi="仿宋_GB2312" w:eastAsia="仿宋_GB2312" w:cs="仿宋_GB2312"/>
                <w:color w:val="000000"/>
                <w:sz w:val="18"/>
                <w:szCs w:val="18"/>
              </w:rPr>
            </w:pPr>
            <w:r>
              <w:rPr>
                <w:rFonts w:hint="eastAsia" w:ascii="Arial" w:hAnsi="Arial" w:eastAsia="仿宋_GB2312" w:cs="Arial"/>
                <w:color w:val="000000"/>
                <w:sz w:val="18"/>
                <w:szCs w:val="18"/>
              </w:rPr>
              <w:t>≥95%</w:t>
            </w:r>
          </w:p>
        </w:tc>
        <w:tc>
          <w:tcPr>
            <w:tcW w:w="413" w:type="pct"/>
            <w:tcBorders>
              <w:top w:val="single" w:color="auto" w:sz="4" w:space="0"/>
              <w:left w:val="single" w:color="auto" w:sz="4" w:space="0"/>
              <w:bottom w:val="single" w:color="auto" w:sz="4" w:space="0"/>
              <w:right w:val="single" w:color="auto" w:sz="4" w:space="0"/>
            </w:tcBorders>
            <w:shd w:val="clear" w:color="auto" w:fill="auto"/>
            <w:vAlign w:val="center"/>
          </w:tcPr>
          <w:p w14:paraId="48AF14D7">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1C88A352">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50C326A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31ABC90B">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按照正常比例赋分</w:t>
            </w: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483F144C">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397FAD41">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12E3B9A2">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5C55226C">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41DF1623">
            <w:pPr>
              <w:jc w:val="center"/>
              <w:rPr>
                <w:rFonts w:ascii="仿宋_GB2312" w:hAnsi="仿宋_GB2312" w:eastAsia="仿宋_GB2312" w:cs="仿宋_GB2312"/>
                <w:color w:val="000000"/>
                <w:sz w:val="18"/>
                <w:szCs w:val="18"/>
              </w:rPr>
            </w:pPr>
          </w:p>
        </w:tc>
      </w:tr>
      <w:tr w14:paraId="06E876A8">
        <w:tblPrEx>
          <w:tblCellMar>
            <w:top w:w="0" w:type="dxa"/>
            <w:left w:w="108" w:type="dxa"/>
            <w:bottom w:w="0" w:type="dxa"/>
            <w:right w:w="108" w:type="dxa"/>
          </w:tblCellMar>
        </w:tblPrEx>
        <w:trPr>
          <w:trHeight w:val="288"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ECF1E73">
            <w:pPr>
              <w:jc w:val="center"/>
              <w:rPr>
                <w:rFonts w:ascii="仿宋_GB2312" w:hAnsi="仿宋_GB2312" w:eastAsia="仿宋_GB2312" w:cs="仿宋_GB2312"/>
                <w:color w:val="000000"/>
                <w:sz w:val="18"/>
                <w:szCs w:val="18"/>
              </w:rPr>
            </w:pPr>
          </w:p>
        </w:tc>
        <w:tc>
          <w:tcPr>
            <w:tcW w:w="458" w:type="pct"/>
            <w:tcBorders>
              <w:top w:val="single" w:color="auto" w:sz="4" w:space="0"/>
              <w:left w:val="single" w:color="auto" w:sz="4" w:space="0"/>
              <w:right w:val="single" w:color="auto" w:sz="4" w:space="0"/>
            </w:tcBorders>
            <w:shd w:val="clear" w:color="auto" w:fill="auto"/>
            <w:vAlign w:val="center"/>
          </w:tcPr>
          <w:p w14:paraId="20AC718A">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成本指标</w:t>
            </w:r>
          </w:p>
        </w:tc>
        <w:tc>
          <w:tcPr>
            <w:tcW w:w="429" w:type="pct"/>
            <w:tcBorders>
              <w:top w:val="single" w:color="auto" w:sz="4" w:space="0"/>
              <w:left w:val="single" w:color="auto" w:sz="4" w:space="0"/>
              <w:bottom w:val="nil"/>
              <w:right w:val="single" w:color="auto" w:sz="4" w:space="0"/>
            </w:tcBorders>
            <w:shd w:val="clear" w:color="auto" w:fill="auto"/>
            <w:noWrap/>
            <w:vAlign w:val="center"/>
          </w:tcPr>
          <w:p w14:paraId="1C430C49">
            <w:pPr>
              <w:widowControl/>
              <w:jc w:val="center"/>
              <w:textAlignment w:val="center"/>
              <w:rPr>
                <w:rFonts w:ascii="仿宋_GB2312" w:hAnsi="仿宋_GB2312" w:eastAsia="仿宋_GB2312" w:cs="仿宋_GB2312"/>
                <w:color w:val="000000"/>
                <w:kern w:val="0"/>
                <w:sz w:val="18"/>
                <w:szCs w:val="18"/>
                <w:highlight w:val="red"/>
              </w:rPr>
            </w:pPr>
            <w:r>
              <w:rPr>
                <w:rFonts w:hint="eastAsia" w:ascii="仿宋_GB2312" w:hAnsi="仿宋_GB2312" w:eastAsia="仿宋_GB2312" w:cs="仿宋_GB2312"/>
                <w:color w:val="000000"/>
                <w:kern w:val="0"/>
                <w:sz w:val="18"/>
                <w:szCs w:val="18"/>
              </w:rPr>
              <w:t>经济成本指标</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14:paraId="3AAD7D73">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人均运转经费数</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449FAB5F">
            <w:pPr>
              <w:jc w:val="center"/>
              <w:rPr>
                <w:rFonts w:ascii="仿宋_GB2312" w:hAnsi="仿宋_GB2312" w:eastAsia="仿宋_GB2312" w:cs="仿宋_GB2312"/>
                <w:color w:val="000000"/>
                <w:sz w:val="18"/>
                <w:szCs w:val="18"/>
              </w:rPr>
            </w:pPr>
            <w:r>
              <w:rPr>
                <w:rFonts w:ascii="Arial" w:hAnsi="Arial" w:eastAsia="仿宋_GB2312" w:cs="Arial"/>
                <w:color w:val="000000"/>
                <w:sz w:val="18"/>
                <w:szCs w:val="18"/>
              </w:rPr>
              <w:t>≤</w:t>
            </w:r>
            <w:r>
              <w:rPr>
                <w:rFonts w:hint="eastAsia" w:ascii="Arial" w:hAnsi="Arial" w:eastAsia="仿宋_GB2312" w:cs="Arial"/>
                <w:color w:val="000000"/>
                <w:sz w:val="18"/>
                <w:szCs w:val="18"/>
              </w:rPr>
              <w:t>476</w:t>
            </w:r>
            <w:r>
              <w:rPr>
                <w:rFonts w:hint="eastAsia" w:ascii="仿宋_GB2312" w:hAnsi="仿宋_GB2312" w:eastAsia="仿宋_GB2312" w:cs="仿宋_GB2312"/>
                <w:color w:val="000000"/>
                <w:sz w:val="18"/>
                <w:szCs w:val="18"/>
              </w:rPr>
              <w:t>元</w:t>
            </w:r>
          </w:p>
        </w:tc>
        <w:tc>
          <w:tcPr>
            <w:tcW w:w="413" w:type="pct"/>
            <w:tcBorders>
              <w:top w:val="single" w:color="auto" w:sz="4" w:space="0"/>
              <w:left w:val="single" w:color="auto" w:sz="4" w:space="0"/>
              <w:bottom w:val="nil"/>
              <w:right w:val="single" w:color="auto" w:sz="4" w:space="0"/>
            </w:tcBorders>
            <w:shd w:val="clear" w:color="auto" w:fill="auto"/>
            <w:vAlign w:val="center"/>
          </w:tcPr>
          <w:p w14:paraId="18BED307">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437D9A5E">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5D08DD02">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w:t>
            </w:r>
          </w:p>
        </w:tc>
        <w:tc>
          <w:tcPr>
            <w:tcW w:w="313" w:type="pct"/>
            <w:tcBorders>
              <w:top w:val="single" w:color="auto" w:sz="4" w:space="0"/>
              <w:left w:val="single" w:color="auto" w:sz="4" w:space="0"/>
              <w:bottom w:val="nil"/>
              <w:right w:val="single" w:color="auto" w:sz="4" w:space="0"/>
            </w:tcBorders>
            <w:shd w:val="clear" w:color="auto" w:fill="auto"/>
            <w:vAlign w:val="center"/>
          </w:tcPr>
          <w:p w14:paraId="0F9CE84E">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按照正常比例赋分</w:t>
            </w: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4EBF1CCD">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6B746C04">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=473.33元</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53EFAC24">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99.44</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4A95F61B">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rPr>
              <w:t>19.</w:t>
            </w:r>
            <w:r>
              <w:rPr>
                <w:rFonts w:hint="eastAsia" w:ascii="仿宋_GB2312" w:hAnsi="仿宋_GB2312" w:eastAsia="仿宋_GB2312" w:cs="仿宋_GB2312"/>
                <w:color w:val="000000"/>
                <w:sz w:val="18"/>
                <w:szCs w:val="18"/>
                <w:lang w:val="en-US" w:eastAsia="zh-CN"/>
              </w:rPr>
              <w:t>72</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74424CDA">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原因：厉行节约。改进措施：合理安排资金支出</w:t>
            </w:r>
            <w:bookmarkEnd w:id="44"/>
            <w:bookmarkEnd w:id="45"/>
          </w:p>
        </w:tc>
      </w:tr>
      <w:tr w14:paraId="5483B189">
        <w:tblPrEx>
          <w:tblCellMar>
            <w:top w:w="0" w:type="dxa"/>
            <w:left w:w="108" w:type="dxa"/>
            <w:bottom w:w="0" w:type="dxa"/>
            <w:right w:w="108" w:type="dxa"/>
          </w:tblCellMar>
        </w:tblPrEx>
        <w:trPr>
          <w:trHeight w:val="288"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6E25270">
            <w:pPr>
              <w:jc w:val="center"/>
              <w:rPr>
                <w:rFonts w:ascii="仿宋_GB2312" w:hAnsi="仿宋_GB2312" w:eastAsia="仿宋_GB2312" w:cs="仿宋_GB2312"/>
                <w:color w:val="000000"/>
                <w:sz w:val="18"/>
                <w:szCs w:val="18"/>
              </w:rPr>
            </w:pPr>
            <w:bookmarkStart w:id="47" w:name="OLE_LINK56" w:colFirst="4" w:colLast="12"/>
            <w:bookmarkStart w:id="48" w:name="OLE_LINK57" w:colFirst="3" w:colLast="12"/>
          </w:p>
        </w:tc>
        <w:tc>
          <w:tcPr>
            <w:tcW w:w="45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2508F0">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效益指标</w:t>
            </w: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6C957C02">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社会效益指标</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14:paraId="1D3A932D">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保障基层政协日常工作稳定开展</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1CDC1A57">
            <w:pPr>
              <w:jc w:val="center"/>
              <w:rPr>
                <w:rFonts w:ascii="仿宋_GB2312" w:hAnsi="仿宋_GB2312" w:eastAsia="仿宋_GB2312" w:cs="仿宋_GB2312"/>
                <w:color w:val="000000"/>
                <w:sz w:val="18"/>
                <w:szCs w:val="18"/>
              </w:rPr>
            </w:pPr>
            <w:r>
              <w:rPr>
                <w:rFonts w:ascii="Arial" w:hAnsi="Arial" w:eastAsia="仿宋_GB2312" w:cs="Arial"/>
                <w:color w:val="000000"/>
                <w:sz w:val="18"/>
                <w:szCs w:val="18"/>
              </w:rPr>
              <w:t>有效保障</w:t>
            </w:r>
          </w:p>
        </w:tc>
        <w:tc>
          <w:tcPr>
            <w:tcW w:w="413" w:type="pct"/>
            <w:tcBorders>
              <w:top w:val="single" w:color="auto" w:sz="4" w:space="0"/>
              <w:left w:val="single" w:color="auto" w:sz="4" w:space="0"/>
              <w:bottom w:val="single" w:color="auto" w:sz="4" w:space="0"/>
              <w:right w:val="single" w:color="auto" w:sz="4" w:space="0"/>
            </w:tcBorders>
            <w:shd w:val="clear" w:color="auto" w:fill="auto"/>
            <w:vAlign w:val="center"/>
          </w:tcPr>
          <w:p w14:paraId="0A022A1A">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1F255FC0">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0BD70334">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48DC870C">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按照正常比例赋分</w:t>
            </w: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496DAF6E">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495EC3F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达成目标</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7CFA0737">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230707E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bookmarkEnd w:id="47"/>
          <w:bookmarkEnd w:id="48"/>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543433C2">
            <w:pPr>
              <w:jc w:val="center"/>
              <w:rPr>
                <w:rFonts w:ascii="仿宋_GB2312" w:hAnsi="仿宋_GB2312" w:eastAsia="仿宋_GB2312" w:cs="仿宋_GB2312"/>
                <w:color w:val="000000"/>
                <w:sz w:val="18"/>
                <w:szCs w:val="18"/>
              </w:rPr>
            </w:pPr>
          </w:p>
        </w:tc>
      </w:tr>
      <w:tr w14:paraId="1F4B1B28">
        <w:tblPrEx>
          <w:tblCellMar>
            <w:top w:w="0" w:type="dxa"/>
            <w:left w:w="108" w:type="dxa"/>
            <w:bottom w:w="0" w:type="dxa"/>
            <w:right w:w="108" w:type="dxa"/>
          </w:tblCellMar>
        </w:tblPrEx>
        <w:trPr>
          <w:trHeight w:val="656"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E794922">
            <w:pPr>
              <w:jc w:val="center"/>
              <w:rPr>
                <w:rFonts w:ascii="仿宋_GB2312" w:hAnsi="仿宋_GB2312" w:eastAsia="仿宋_GB2312" w:cs="仿宋_GB2312"/>
                <w:color w:val="000000"/>
                <w:sz w:val="18"/>
                <w:szCs w:val="18"/>
              </w:rPr>
            </w:pPr>
            <w:bookmarkStart w:id="49" w:name="OLE_LINK53" w:colFirst="2" w:colLast="13"/>
          </w:p>
        </w:tc>
        <w:tc>
          <w:tcPr>
            <w:tcW w:w="45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F0158A">
            <w:pPr>
              <w:jc w:val="center"/>
              <w:rPr>
                <w:rFonts w:ascii="仿宋_GB2312" w:hAnsi="仿宋_GB2312" w:eastAsia="仿宋_GB2312" w:cs="仿宋_GB2312"/>
                <w:color w:val="000000"/>
                <w:sz w:val="18"/>
                <w:szCs w:val="18"/>
              </w:rPr>
            </w:pP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7190BDB3">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社会效益指标</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14:paraId="48D9BE67">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政协委员履职能力提升率</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16B08AC6">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≥95%</w:t>
            </w:r>
          </w:p>
        </w:tc>
        <w:tc>
          <w:tcPr>
            <w:tcW w:w="413" w:type="pct"/>
            <w:tcBorders>
              <w:top w:val="single" w:color="auto" w:sz="4" w:space="0"/>
              <w:left w:val="single" w:color="auto" w:sz="4" w:space="0"/>
              <w:bottom w:val="single" w:color="auto" w:sz="4" w:space="0"/>
              <w:right w:val="single" w:color="auto" w:sz="4" w:space="0"/>
            </w:tcBorders>
            <w:shd w:val="clear" w:color="auto" w:fill="auto"/>
            <w:vAlign w:val="center"/>
          </w:tcPr>
          <w:p w14:paraId="3EE7B80C">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1C7DB61F">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43360EF9">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1D6646B7">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按照正常比例赋分</w:t>
            </w: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043C7543">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71E12660">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3DCCCC7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105.26</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08D3EAE3">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9.47</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3717F03F">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原因：政协委员对政协工作达到满意，工作按时交办，改进措施：合理安排资金支出</w:t>
            </w:r>
            <w:bookmarkEnd w:id="49"/>
          </w:p>
        </w:tc>
      </w:tr>
      <w:tr w14:paraId="58F599E9">
        <w:tblPrEx>
          <w:tblCellMar>
            <w:top w:w="0" w:type="dxa"/>
            <w:left w:w="108" w:type="dxa"/>
            <w:bottom w:w="0" w:type="dxa"/>
            <w:right w:w="108" w:type="dxa"/>
          </w:tblCellMar>
        </w:tblPrEx>
        <w:trPr>
          <w:trHeight w:val="288" w:hRule="atLeast"/>
        </w:trPr>
        <w:tc>
          <w:tcPr>
            <w:tcW w:w="32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4C57E71">
            <w:pPr>
              <w:jc w:val="center"/>
              <w:rPr>
                <w:rFonts w:ascii="仿宋_GB2312" w:hAnsi="仿宋_GB2312" w:eastAsia="仿宋_GB2312" w:cs="仿宋_GB2312"/>
                <w:color w:val="000000"/>
                <w:sz w:val="18"/>
                <w:szCs w:val="18"/>
              </w:rPr>
            </w:pPr>
          </w:p>
        </w:tc>
        <w:tc>
          <w:tcPr>
            <w:tcW w:w="458" w:type="pct"/>
            <w:tcBorders>
              <w:top w:val="single" w:color="auto" w:sz="4" w:space="0"/>
              <w:left w:val="single" w:color="auto" w:sz="4" w:space="0"/>
              <w:bottom w:val="single" w:color="auto" w:sz="4" w:space="0"/>
              <w:right w:val="single" w:color="auto" w:sz="4" w:space="0"/>
            </w:tcBorders>
            <w:shd w:val="clear" w:color="auto" w:fill="auto"/>
            <w:vAlign w:val="center"/>
          </w:tcPr>
          <w:p w14:paraId="1E7D6445">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满意度指标</w:t>
            </w:r>
          </w:p>
        </w:tc>
        <w:tc>
          <w:tcPr>
            <w:tcW w:w="429" w:type="pct"/>
            <w:tcBorders>
              <w:top w:val="single" w:color="auto" w:sz="4" w:space="0"/>
              <w:left w:val="single" w:color="auto" w:sz="4" w:space="0"/>
              <w:bottom w:val="single" w:color="auto" w:sz="4" w:space="0"/>
              <w:right w:val="single" w:color="auto" w:sz="4" w:space="0"/>
            </w:tcBorders>
            <w:shd w:val="clear" w:color="auto" w:fill="auto"/>
            <w:vAlign w:val="center"/>
          </w:tcPr>
          <w:p w14:paraId="3A61B80C">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满意度指标</w:t>
            </w:r>
          </w:p>
        </w:tc>
        <w:tc>
          <w:tcPr>
            <w:tcW w:w="495" w:type="pct"/>
            <w:tcBorders>
              <w:top w:val="single" w:color="auto" w:sz="4" w:space="0"/>
              <w:left w:val="single" w:color="auto" w:sz="4" w:space="0"/>
              <w:bottom w:val="single" w:color="auto" w:sz="4" w:space="0"/>
              <w:right w:val="single" w:color="auto" w:sz="4" w:space="0"/>
            </w:tcBorders>
            <w:shd w:val="clear" w:color="auto" w:fill="auto"/>
            <w:vAlign w:val="center"/>
          </w:tcPr>
          <w:p w14:paraId="5BC1E890">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基层政协委员满意度意度</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4B0D1020">
            <w:pPr>
              <w:jc w:val="center"/>
              <w:rPr>
                <w:rFonts w:ascii="仿宋_GB2312" w:hAnsi="仿宋_GB2312" w:eastAsia="仿宋_GB2312" w:cs="仿宋_GB2312"/>
                <w:color w:val="000000"/>
                <w:sz w:val="18"/>
                <w:szCs w:val="18"/>
              </w:rPr>
            </w:pPr>
            <w:r>
              <w:rPr>
                <w:rFonts w:ascii="Arial" w:hAnsi="Arial" w:eastAsia="仿宋_GB2312" w:cs="Arial"/>
                <w:color w:val="000000"/>
                <w:sz w:val="18"/>
                <w:szCs w:val="18"/>
              </w:rPr>
              <w:t>≥</w:t>
            </w:r>
            <w:r>
              <w:rPr>
                <w:rFonts w:hint="eastAsia" w:ascii="Arial" w:hAnsi="Arial" w:eastAsia="仿宋_GB2312" w:cs="Arial"/>
                <w:color w:val="000000"/>
                <w:sz w:val="18"/>
                <w:szCs w:val="18"/>
              </w:rPr>
              <w:t>95</w:t>
            </w:r>
            <w:r>
              <w:rPr>
                <w:rFonts w:hint="eastAsia" w:ascii="仿宋_GB2312" w:hAnsi="仿宋_GB2312" w:eastAsia="仿宋_GB2312" w:cs="仿宋_GB2312"/>
                <w:color w:val="000000"/>
                <w:sz w:val="18"/>
                <w:szCs w:val="18"/>
              </w:rPr>
              <w:t>%</w:t>
            </w:r>
          </w:p>
        </w:tc>
        <w:tc>
          <w:tcPr>
            <w:tcW w:w="413" w:type="pct"/>
            <w:tcBorders>
              <w:top w:val="single" w:color="auto" w:sz="4" w:space="0"/>
              <w:left w:val="single" w:color="auto" w:sz="4" w:space="0"/>
              <w:bottom w:val="single" w:color="auto" w:sz="4" w:space="0"/>
              <w:right w:val="single" w:color="auto" w:sz="4" w:space="0"/>
            </w:tcBorders>
            <w:shd w:val="clear" w:color="auto" w:fill="auto"/>
            <w:vAlign w:val="center"/>
          </w:tcPr>
          <w:p w14:paraId="5DDF85F6">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计划标准</w:t>
            </w: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24C5F9CD">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w:t>
            </w: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76F1AF0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245AE7E0">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满意度赋分</w:t>
            </w: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56B22DE0">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工作资料</w:t>
            </w: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2C60474F">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=100%</w:t>
            </w: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56FCD33C">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105.26</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608FE590">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10</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0ECC514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政协委员对政协工作达到满意，工作按时交办；改进措施：合理安排资金支出</w:t>
            </w:r>
          </w:p>
        </w:tc>
      </w:tr>
      <w:tr w14:paraId="1A0FA21B">
        <w:tblPrEx>
          <w:tblCellMar>
            <w:top w:w="0" w:type="dxa"/>
            <w:left w:w="108" w:type="dxa"/>
            <w:bottom w:w="0" w:type="dxa"/>
            <w:right w:w="108" w:type="dxa"/>
          </w:tblCellMar>
        </w:tblPrEx>
        <w:trPr>
          <w:trHeight w:val="288" w:hRule="atLeast"/>
        </w:trPr>
        <w:tc>
          <w:tcPr>
            <w:tcW w:w="1708" w:type="pct"/>
            <w:gridSpan w:val="4"/>
            <w:tcBorders>
              <w:top w:val="single" w:color="auto" w:sz="4" w:space="0"/>
              <w:left w:val="single" w:color="auto" w:sz="4" w:space="0"/>
              <w:bottom w:val="single" w:color="auto" w:sz="4" w:space="0"/>
              <w:right w:val="nil"/>
            </w:tcBorders>
            <w:shd w:val="clear" w:color="auto" w:fill="auto"/>
            <w:vAlign w:val="center"/>
          </w:tcPr>
          <w:p w14:paraId="3F814C8A">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总分</w:t>
            </w:r>
          </w:p>
        </w:tc>
        <w:tc>
          <w:tcPr>
            <w:tcW w:w="312" w:type="pct"/>
            <w:tcBorders>
              <w:top w:val="single" w:color="auto" w:sz="4" w:space="0"/>
              <w:left w:val="single" w:color="auto" w:sz="4" w:space="0"/>
              <w:bottom w:val="single" w:color="auto" w:sz="4" w:space="0"/>
              <w:right w:val="single" w:color="auto" w:sz="4" w:space="0"/>
            </w:tcBorders>
            <w:shd w:val="clear" w:color="auto" w:fill="auto"/>
            <w:vAlign w:val="center"/>
          </w:tcPr>
          <w:p w14:paraId="19A8CC31">
            <w:pPr>
              <w:jc w:val="center"/>
              <w:rPr>
                <w:rFonts w:ascii="仿宋_GB2312" w:hAnsi="仿宋_GB2312" w:eastAsia="仿宋_GB2312" w:cs="仿宋_GB2312"/>
                <w:color w:val="000000"/>
                <w:sz w:val="18"/>
                <w:szCs w:val="18"/>
              </w:rPr>
            </w:pPr>
          </w:p>
        </w:tc>
        <w:tc>
          <w:tcPr>
            <w:tcW w:w="413" w:type="pct"/>
            <w:tcBorders>
              <w:top w:val="single" w:color="auto" w:sz="4" w:space="0"/>
              <w:left w:val="nil"/>
              <w:bottom w:val="single" w:color="auto" w:sz="4" w:space="0"/>
              <w:right w:val="single" w:color="auto" w:sz="4" w:space="0"/>
            </w:tcBorders>
            <w:shd w:val="clear" w:color="auto" w:fill="auto"/>
            <w:vAlign w:val="center"/>
          </w:tcPr>
          <w:p w14:paraId="52C69D88">
            <w:pPr>
              <w:rPr>
                <w:rFonts w:ascii="仿宋_GB2312" w:hAnsi="仿宋_GB2312" w:eastAsia="仿宋_GB2312" w:cs="仿宋_GB2312"/>
                <w:b/>
                <w:bCs/>
                <w:color w:val="000000"/>
                <w:sz w:val="18"/>
                <w:szCs w:val="18"/>
              </w:rPr>
            </w:pPr>
          </w:p>
        </w:tc>
        <w:tc>
          <w:tcPr>
            <w:tcW w:w="328" w:type="pct"/>
            <w:tcBorders>
              <w:top w:val="single" w:color="auto" w:sz="4" w:space="0"/>
              <w:left w:val="single" w:color="auto" w:sz="4" w:space="0"/>
              <w:bottom w:val="single" w:color="auto" w:sz="4" w:space="0"/>
              <w:right w:val="single" w:color="auto" w:sz="4" w:space="0"/>
            </w:tcBorders>
            <w:shd w:val="clear" w:color="auto" w:fill="auto"/>
            <w:vAlign w:val="center"/>
          </w:tcPr>
          <w:p w14:paraId="35EFD395">
            <w:pPr>
              <w:jc w:val="center"/>
              <w:rPr>
                <w:rFonts w:ascii="仿宋_GB2312" w:hAnsi="仿宋_GB2312" w:eastAsia="仿宋_GB2312" w:cs="仿宋_GB2312"/>
                <w:color w:val="000000"/>
                <w:sz w:val="18"/>
                <w:szCs w:val="18"/>
              </w:rPr>
            </w:pPr>
          </w:p>
        </w:tc>
        <w:tc>
          <w:tcPr>
            <w:tcW w:w="297" w:type="pct"/>
            <w:tcBorders>
              <w:top w:val="single" w:color="auto" w:sz="4" w:space="0"/>
              <w:left w:val="single" w:color="auto" w:sz="4" w:space="0"/>
              <w:bottom w:val="single" w:color="auto" w:sz="4" w:space="0"/>
              <w:right w:val="single" w:color="auto" w:sz="4" w:space="0"/>
            </w:tcBorders>
            <w:shd w:val="clear" w:color="auto" w:fill="auto"/>
            <w:vAlign w:val="center"/>
          </w:tcPr>
          <w:p w14:paraId="2D8B88E6">
            <w:pPr>
              <w:jc w:val="center"/>
              <w:rPr>
                <w:rFonts w:ascii="仿宋_GB2312" w:hAnsi="仿宋_GB2312" w:eastAsia="仿宋_GB2312" w:cs="仿宋_GB2312"/>
                <w:color w:val="000000"/>
                <w:sz w:val="18"/>
                <w:szCs w:val="18"/>
              </w:rPr>
            </w:pPr>
          </w:p>
        </w:tc>
        <w:tc>
          <w:tcPr>
            <w:tcW w:w="313" w:type="pct"/>
            <w:tcBorders>
              <w:top w:val="single" w:color="auto" w:sz="4" w:space="0"/>
              <w:left w:val="single" w:color="auto" w:sz="4" w:space="0"/>
              <w:bottom w:val="single" w:color="auto" w:sz="4" w:space="0"/>
              <w:right w:val="single" w:color="auto" w:sz="4" w:space="0"/>
            </w:tcBorders>
            <w:shd w:val="clear" w:color="auto" w:fill="auto"/>
            <w:vAlign w:val="center"/>
          </w:tcPr>
          <w:p w14:paraId="6863135C">
            <w:pPr>
              <w:jc w:val="center"/>
              <w:rPr>
                <w:rFonts w:ascii="仿宋_GB2312" w:hAnsi="仿宋_GB2312" w:eastAsia="仿宋_GB2312" w:cs="仿宋_GB2312"/>
                <w:color w:val="000000"/>
                <w:sz w:val="18"/>
                <w:szCs w:val="18"/>
              </w:rPr>
            </w:pPr>
          </w:p>
        </w:tc>
        <w:tc>
          <w:tcPr>
            <w:tcW w:w="275" w:type="pct"/>
            <w:tcBorders>
              <w:top w:val="single" w:color="auto" w:sz="4" w:space="0"/>
              <w:left w:val="single" w:color="auto" w:sz="4" w:space="0"/>
              <w:bottom w:val="single" w:color="auto" w:sz="4" w:space="0"/>
              <w:right w:val="single" w:color="auto" w:sz="4" w:space="0"/>
            </w:tcBorders>
            <w:shd w:val="clear" w:color="auto" w:fill="auto"/>
            <w:vAlign w:val="center"/>
          </w:tcPr>
          <w:p w14:paraId="24639D89">
            <w:pPr>
              <w:rPr>
                <w:rFonts w:ascii="仿宋_GB2312" w:hAnsi="仿宋_GB2312" w:eastAsia="仿宋_GB2312" w:cs="仿宋_GB2312"/>
                <w:color w:val="000000"/>
                <w:sz w:val="18"/>
                <w:szCs w:val="18"/>
              </w:rPr>
            </w:pPr>
          </w:p>
        </w:tc>
        <w:tc>
          <w:tcPr>
            <w:tcW w:w="366" w:type="pct"/>
            <w:tcBorders>
              <w:top w:val="single" w:color="auto" w:sz="4" w:space="0"/>
              <w:left w:val="single" w:color="auto" w:sz="4" w:space="0"/>
              <w:bottom w:val="single" w:color="auto" w:sz="4" w:space="0"/>
              <w:right w:val="single" w:color="auto" w:sz="4" w:space="0"/>
            </w:tcBorders>
            <w:shd w:val="clear" w:color="auto" w:fill="auto"/>
            <w:vAlign w:val="center"/>
          </w:tcPr>
          <w:p w14:paraId="4B01254B">
            <w:pPr>
              <w:rPr>
                <w:rFonts w:ascii="仿宋_GB2312" w:hAnsi="仿宋_GB2312" w:eastAsia="仿宋_GB2312" w:cs="仿宋_GB2312"/>
                <w:color w:val="000000"/>
                <w:sz w:val="18"/>
                <w:szCs w:val="18"/>
              </w:rPr>
            </w:pPr>
          </w:p>
        </w:tc>
        <w:tc>
          <w:tcPr>
            <w:tcW w:w="260" w:type="pct"/>
            <w:tcBorders>
              <w:top w:val="single" w:color="auto" w:sz="4" w:space="0"/>
              <w:left w:val="single" w:color="auto" w:sz="4" w:space="0"/>
              <w:bottom w:val="single" w:color="auto" w:sz="4" w:space="0"/>
              <w:right w:val="single" w:color="auto" w:sz="4" w:space="0"/>
            </w:tcBorders>
            <w:shd w:val="clear" w:color="auto" w:fill="auto"/>
            <w:vAlign w:val="center"/>
          </w:tcPr>
          <w:p w14:paraId="2C0F07BC">
            <w:pPr>
              <w:rPr>
                <w:rFonts w:ascii="仿宋_GB2312" w:hAnsi="仿宋_GB2312" w:eastAsia="仿宋_GB2312" w:cs="仿宋_GB2312"/>
                <w:color w:val="000000"/>
                <w:sz w:val="18"/>
                <w:szCs w:val="18"/>
              </w:rPr>
            </w:pP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68624EF8">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99.</w:t>
            </w:r>
            <w:r>
              <w:rPr>
                <w:rFonts w:hint="eastAsia" w:ascii="仿宋_GB2312" w:hAnsi="仿宋_GB2312" w:eastAsia="仿宋_GB2312" w:cs="仿宋_GB2312"/>
                <w:color w:val="000000"/>
                <w:sz w:val="18"/>
                <w:szCs w:val="18"/>
                <w:lang w:val="en-US" w:eastAsia="zh-CN"/>
              </w:rPr>
              <w:t>19</w:t>
            </w:r>
            <w:r>
              <w:rPr>
                <w:rFonts w:hint="eastAsia" w:ascii="仿宋_GB2312" w:hAnsi="仿宋_GB2312" w:eastAsia="仿宋_GB2312" w:cs="仿宋_GB2312"/>
                <w:color w:val="000000"/>
                <w:sz w:val="18"/>
                <w:szCs w:val="18"/>
              </w:rPr>
              <w:t>分</w:t>
            </w:r>
          </w:p>
        </w:tc>
        <w:tc>
          <w:tcPr>
            <w:tcW w:w="362" w:type="pct"/>
            <w:tcBorders>
              <w:top w:val="single" w:color="auto" w:sz="4" w:space="0"/>
              <w:left w:val="single" w:color="auto" w:sz="4" w:space="0"/>
              <w:bottom w:val="single" w:color="auto" w:sz="4" w:space="0"/>
              <w:right w:val="single" w:color="auto" w:sz="4" w:space="0"/>
            </w:tcBorders>
            <w:shd w:val="clear" w:color="auto" w:fill="auto"/>
            <w:vAlign w:val="center"/>
          </w:tcPr>
          <w:p w14:paraId="67268644">
            <w:pPr>
              <w:rPr>
                <w:rFonts w:ascii="仿宋_GB2312" w:hAnsi="仿宋_GB2312" w:eastAsia="仿宋_GB2312" w:cs="仿宋_GB2312"/>
                <w:color w:val="000000"/>
                <w:sz w:val="18"/>
                <w:szCs w:val="18"/>
              </w:rPr>
            </w:pPr>
          </w:p>
        </w:tc>
      </w:tr>
    </w:tbl>
    <w:p w14:paraId="1C36699B"/>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381174E4">
        <w:pPr>
          <w:pStyle w:val="8"/>
          <w:jc w:val="center"/>
        </w:pPr>
        <w:r>
          <w:fldChar w:fldCharType="begin"/>
        </w:r>
        <w:r>
          <w:instrText xml:space="preserve">PAGE   \* MERGEFORMAT</w:instrText>
        </w:r>
        <w:r>
          <w:fldChar w:fldCharType="separate"/>
        </w:r>
        <w:r>
          <w:rPr>
            <w:lang w:val="zh-CN"/>
          </w:rPr>
          <w:t>21</w:t>
        </w:r>
        <w:r>
          <w:fldChar w:fldCharType="end"/>
        </w:r>
      </w:p>
    </w:sdtContent>
  </w:sdt>
  <w:p w14:paraId="43E56D3E">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3"/>
      <w:numFmt w:val="chineseCounting"/>
      <w:suff w:val="nothing"/>
      <w:lvlText w:val="%1、"/>
      <w:lvlJc w:val="left"/>
      <w:rPr>
        <w:rFonts w:hint="eastAsia"/>
      </w:rPr>
    </w:lvl>
  </w:abstractNum>
  <w:abstractNum w:abstractNumId="2">
    <w:nsid w:val="0053208E"/>
    <w:multiLevelType w:val="singleLevel"/>
    <w:tmpl w:val="0053208E"/>
    <w:lvl w:ilvl="0" w:tentative="0">
      <w:start w:val="3"/>
      <w:numFmt w:val="chineseCounting"/>
      <w:suff w:val="nothing"/>
      <w:lvlText w:val="（%1）"/>
      <w:lvlJc w:val="left"/>
      <w:rPr>
        <w:rFonts w:hint="eastAsia"/>
      </w:rPr>
    </w:lvl>
  </w:abstractNum>
  <w:abstractNum w:abstractNumId="3">
    <w:nsid w:val="59ADCABA"/>
    <w:multiLevelType w:val="singleLevel"/>
    <w:tmpl w:val="59ADCABA"/>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iOGM5NzlhN2JhOTc3OTljZTBmY2FhN2MzNTk3ODEifQ=="/>
  </w:docVars>
  <w:rsids>
    <w:rsidRoot w:val="00000000"/>
    <w:rsid w:val="1F7303E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2"/>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Autospacing="1" w:afterAutospacing="1"/>
      <w:jc w:val="left"/>
    </w:pPr>
    <w:rPr>
      <w:kern w:val="0"/>
      <w:sz w:val="24"/>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Char"/>
    <w:basedOn w:val="15"/>
    <w:link w:val="7"/>
    <w:qFormat/>
    <w:uiPriority w:val="0"/>
    <w:rPr>
      <w:rFonts w:ascii="Times New Roman" w:hAnsi="Times New Roman" w:eastAsia="宋体" w:cs="Times New Roman"/>
      <w:kern w:val="2"/>
      <w:sz w:val="18"/>
      <w:szCs w:val="18"/>
    </w:rPr>
  </w:style>
  <w:style w:type="character" w:customStyle="1" w:styleId="23">
    <w:name w:val="页眉 Char"/>
    <w:basedOn w:val="15"/>
    <w:link w:val="9"/>
    <w:qFormat/>
    <w:uiPriority w:val="0"/>
    <w:rPr>
      <w:rFonts w:ascii="Times New Roman" w:hAnsi="Times New Roman" w:eastAsia="宋体" w:cs="Times New Roman"/>
      <w:kern w:val="2"/>
      <w:sz w:val="18"/>
      <w:szCs w:val="18"/>
    </w:rPr>
  </w:style>
  <w:style w:type="character" w:customStyle="1" w:styleId="24">
    <w:name w:val="批注文字 Char"/>
    <w:basedOn w:val="15"/>
    <w:link w:val="17"/>
    <w:qFormat/>
    <w:uiPriority w:val="0"/>
    <w:rPr>
      <w:rFonts w:ascii="Times New Roman" w:hAnsi="Times New Roman" w:eastAsia="宋体" w:cs="Times New Roman"/>
      <w:kern w:val="2"/>
      <w:sz w:val="21"/>
      <w:szCs w:val="24"/>
    </w:rPr>
  </w:style>
  <w:style w:type="character" w:customStyle="1" w:styleId="25">
    <w:name w:val="批注主题 Char"/>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F1A32EB7C53F433780EB4BD1AD3DECDF_13</vt:lpwstr>
  </property>
  <property fmtid="{D5CDD505-2E9C-101B-9397-08002B2CF9AE}" pid="4" name="KSOTemplateDocerSaveRecord">
    <vt:lpwstr>eyJoZGlkIjoiMmMzOWFkMWUxODM5YzEwMzBjMTI1NjRiY2M5NDlhOWUiLCJ1c2VySWQiOiI0MjYzNjAxNTMifQ==</vt:lpwstr>
  </property>
</Properties>
</file>

<file path=customXml/itemProps1.xml><?xml version="1.0" encoding="utf-8"?>
<ds:datastoreItem xmlns:ds="http://schemas.openxmlformats.org/officeDocument/2006/customXml" ds:itemID="{c14631bc-d149-44ce-b6c3-57104307eed9}">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10175</Words>
  <Characters>10526</Characters>
  <Lines>102</Lines>
  <Paragraphs>28</Paragraphs>
  <TotalTime>8</TotalTime>
  <ScaleCrop>false</ScaleCrop>
  <LinksUpToDate>false</LinksUpToDate>
  <CharactersWithSpaces>10529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cp:lastPrinted>2025-03-26T08:23:00Z</cp:lastPrinted>
  <dcterms:modified xsi:type="dcterms:W3CDTF">2025-10-15T08:21:31Z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F1A32EB7C53F433780EB4BD1AD3DECDF_13</vt:lpwstr>
  </property>
  <property fmtid="{D5CDD505-2E9C-101B-9397-08002B2CF9AE}" pid="4" name="KSOTemplateDocerSaveRecord">
    <vt:lpwstr>eyJoZGlkIjoiZWE5M2E4OTRkNmEwYTUyNjM2Mzg3NThiMTA5NmIzZWUiLCJ1c2VySWQiOiI0OTMxMTE3MjUifQ==</vt:lpwstr>
  </property>
</Properties>
</file>