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和硕县退役军人事务局2024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4C951A6">
      <w:r>
        <w:br w:type="page"/>
      </w:r>
    </w:p>
    <w:p w14:paraId="3D21A652">
      <w:pPr>
        <w:spacing w:line="640" w:lineRule="exact"/>
        <w:jc w:val="center"/>
        <w:outlineLvl w:val="1"/>
      </w:pPr>
      <w:r>
        <w:rPr>
          <w:rFonts w:ascii="黑体" w:hAnsi="黑体" w:eastAsia="黑体"/>
          <w:sz w:val="32"/>
        </w:rPr>
        <w:t>第一部分 单位概况</w:t>
      </w:r>
    </w:p>
    <w:p w14:paraId="1654234D">
      <w:pPr>
        <w:spacing w:line="640" w:lineRule="exact"/>
        <w:ind w:firstLine="640"/>
        <w:jc w:val="both"/>
        <w:outlineLvl w:val="2"/>
      </w:pPr>
      <w:r>
        <w:rPr>
          <w:rFonts w:ascii="黑体" w:hAnsi="黑体" w:eastAsia="黑体"/>
          <w:sz w:val="32"/>
        </w:rPr>
        <w:t>一、主要职能</w:t>
      </w:r>
    </w:p>
    <w:p w14:paraId="4F26C99B">
      <w:pPr>
        <w:spacing w:line="580" w:lineRule="exact"/>
        <w:ind w:firstLine="640"/>
        <w:jc w:val="both"/>
      </w:pPr>
      <w:r>
        <w:rPr>
          <w:rFonts w:ascii="仿宋_GB2312" w:hAnsi="仿宋_GB2312" w:eastAsia="仿宋_GB2312"/>
          <w:sz w:val="32"/>
        </w:rPr>
        <w:t>（1）组织实施退役军人思想政治、管理保障和安置优抚等工作政策法规，褒扬彰显退役军人为党、国家和人民牺牲奉献的精神风范和价值导向。</w:t>
      </w:r>
    </w:p>
    <w:p w14:paraId="7870311E">
      <w:pPr>
        <w:spacing w:line="580" w:lineRule="exact"/>
        <w:ind w:firstLine="640"/>
        <w:jc w:val="both"/>
      </w:pPr>
      <w:r>
        <w:rPr>
          <w:rFonts w:ascii="仿宋_GB2312" w:hAnsi="仿宋_GB2312" w:eastAsia="仿宋_GB2312"/>
          <w:sz w:val="32"/>
        </w:rPr>
        <w:t>（2）负责军队就业干部、复员干部、离休退休干部、退役士兵和无军籍退休退职职工的移交安置工作和自主择业、就业退役军人服务管理工作，组织实施退役军人留巴州安置优惠优待政策；促进退役军人留在巴州，奉献基层；配合做好招录退役士兵充实乡镇基层工作。</w:t>
      </w:r>
    </w:p>
    <w:p w14:paraId="4121D029">
      <w:pPr>
        <w:spacing w:line="580" w:lineRule="exact"/>
        <w:ind w:firstLine="640"/>
        <w:jc w:val="both"/>
      </w:pPr>
      <w:r>
        <w:rPr>
          <w:rFonts w:ascii="仿宋_GB2312" w:hAnsi="仿宋_GB2312" w:eastAsia="仿宋_GB2312"/>
          <w:sz w:val="32"/>
        </w:rPr>
        <w:t>（3）组织开展退役军人教育培训工作，协调扶持退役军人和随军随调家属就业创业。</w:t>
      </w:r>
    </w:p>
    <w:p w14:paraId="60DC96F7">
      <w:pPr>
        <w:spacing w:line="580" w:lineRule="exact"/>
        <w:ind w:firstLine="640"/>
        <w:jc w:val="both"/>
      </w:pPr>
      <w:r>
        <w:rPr>
          <w:rFonts w:ascii="仿宋_GB2312" w:hAnsi="仿宋_GB2312" w:eastAsia="仿宋_GB2312"/>
          <w:sz w:val="32"/>
        </w:rPr>
        <w:t>（4）会同有关部门组织落实退役军人特殊保障政策。</w:t>
      </w:r>
    </w:p>
    <w:p w14:paraId="01E5F5C5">
      <w:pPr>
        <w:spacing w:line="580" w:lineRule="exact"/>
        <w:ind w:firstLine="640"/>
        <w:jc w:val="both"/>
      </w:pPr>
      <w:r>
        <w:rPr>
          <w:rFonts w:ascii="仿宋_GB2312" w:hAnsi="仿宋_GB2312" w:eastAsia="仿宋_GB2312"/>
          <w:sz w:val="32"/>
        </w:rPr>
        <w:t>（5）组织落实移交地方的离退休军人、符合条件的其他退役军人和无军籍退休退职职工的住房保障，以及退役军人医疗保障、社会保险等待遇保障工作。</w:t>
      </w:r>
    </w:p>
    <w:p w14:paraId="2A718C4C">
      <w:pPr>
        <w:spacing w:line="580" w:lineRule="exact"/>
        <w:ind w:firstLine="640"/>
        <w:jc w:val="both"/>
      </w:pPr>
      <w:r>
        <w:rPr>
          <w:rFonts w:ascii="仿宋_GB2312" w:hAnsi="仿宋_GB2312" w:eastAsia="仿宋_GB2312"/>
          <w:sz w:val="32"/>
        </w:rPr>
        <w:t>（6）组织指导伤病残退役军人服务管理和抚恤工作，落实有关退役军人医疗、疗养、养老等机构规划政策。承担不适宜继续服役的伤病残军人相关工作。</w:t>
      </w:r>
    </w:p>
    <w:p w14:paraId="4D301AA7">
      <w:pPr>
        <w:spacing w:line="580" w:lineRule="exact"/>
        <w:ind w:firstLine="640"/>
        <w:jc w:val="both"/>
      </w:pPr>
      <w:r>
        <w:rPr>
          <w:rFonts w:ascii="仿宋_GB2312" w:hAnsi="仿宋_GB2312" w:eastAsia="仿宋_GB2312"/>
          <w:sz w:val="32"/>
        </w:rPr>
        <w:t>（7）组织拥军优属工作。负责现役军人、退役军人、军队文职人员和军属优待、抚恤等工作，落实国民党抗战老兵等有关人员优待政策。</w:t>
      </w:r>
    </w:p>
    <w:p w14:paraId="207CF569">
      <w:pPr>
        <w:spacing w:line="580" w:lineRule="exact"/>
        <w:ind w:firstLine="640"/>
        <w:jc w:val="both"/>
      </w:pPr>
      <w:r>
        <w:rPr>
          <w:rFonts w:ascii="仿宋_GB2312" w:hAnsi="仿宋_GB2312" w:eastAsia="仿宋_GB2312"/>
          <w:sz w:val="32"/>
        </w:rPr>
        <w:t>（8）负责烈士及退役军人荣誉奖励、军人公墓规划建设、管理维护、纪念活动等工作；依法承担英雄烈士保护相关；总结表彰和宣扬退役军人、退役军人工作单位典型事迹。</w:t>
      </w:r>
    </w:p>
    <w:p w14:paraId="084AF9A6">
      <w:pPr>
        <w:spacing w:line="580" w:lineRule="exact"/>
        <w:ind w:firstLine="640"/>
        <w:jc w:val="both"/>
      </w:pPr>
      <w:r>
        <w:rPr>
          <w:rFonts w:ascii="仿宋_GB2312" w:hAnsi="仿宋_GB2312" w:eastAsia="仿宋_GB2312"/>
          <w:sz w:val="32"/>
        </w:rPr>
        <w:t>（9）负责退役军人相关法律法规和政策措施的落实，组织退役军人权益保护和有关人员的帮扶援助工作。</w:t>
      </w:r>
    </w:p>
    <w:p w14:paraId="500CCE7E">
      <w:pPr>
        <w:spacing w:line="640" w:lineRule="exact"/>
        <w:ind w:firstLine="640"/>
        <w:jc w:val="both"/>
        <w:outlineLvl w:val="2"/>
      </w:pPr>
      <w:r>
        <w:rPr>
          <w:rFonts w:ascii="黑体" w:hAnsi="黑体" w:eastAsia="黑体"/>
          <w:sz w:val="32"/>
        </w:rPr>
        <w:t>二、机构设置及人员情况</w:t>
      </w:r>
    </w:p>
    <w:p w14:paraId="6CF752EB">
      <w:pPr>
        <w:spacing w:line="580" w:lineRule="exact"/>
        <w:ind w:firstLine="640"/>
        <w:jc w:val="both"/>
      </w:pPr>
      <w:r>
        <w:rPr>
          <w:rFonts w:ascii="仿宋_GB2312" w:hAnsi="仿宋_GB2312" w:eastAsia="仿宋_GB2312"/>
          <w:sz w:val="32"/>
        </w:rPr>
        <w:t>和硕县退役军人事务局2024年度，实有人数10人，其中：在职人员8人，增加1人；离休人员0人，增加0人；退休人员2人,增加0人。</w:t>
      </w:r>
    </w:p>
    <w:p w14:paraId="12C05493">
      <w:pPr>
        <w:spacing w:line="580" w:lineRule="exact"/>
        <w:ind w:firstLine="640"/>
        <w:jc w:val="both"/>
      </w:pPr>
      <w:r>
        <w:rPr>
          <w:rFonts w:ascii="仿宋_GB2312" w:hAnsi="仿宋_GB2312" w:eastAsia="仿宋_GB2312"/>
          <w:sz w:val="32"/>
        </w:rPr>
        <w:t>和硕县退役军人事务局无下属预算单位，下设2个科室，分别是：财务室、办公室。</w:t>
      </w:r>
    </w:p>
    <w:p w14:paraId="382BA2F8">
      <w:r>
        <w:br w:type="page"/>
      </w:r>
    </w:p>
    <w:p w14:paraId="088261A9">
      <w:pPr>
        <w:spacing w:line="240" w:lineRule="auto"/>
        <w:jc w:val="center"/>
        <w:outlineLvl w:val="1"/>
      </w:pPr>
      <w:r>
        <w:rPr>
          <w:rFonts w:ascii="黑体" w:hAnsi="黑体" w:eastAsia="黑体"/>
          <w:sz w:val="32"/>
        </w:rPr>
        <w:t>第二部分 部门决算情况说明</w:t>
      </w:r>
    </w:p>
    <w:p w14:paraId="1D65F3AF">
      <w:pPr>
        <w:spacing w:line="640" w:lineRule="exact"/>
        <w:ind w:firstLine="640"/>
        <w:jc w:val="both"/>
        <w:outlineLvl w:val="2"/>
      </w:pPr>
      <w:r>
        <w:rPr>
          <w:rFonts w:ascii="黑体" w:hAnsi="黑体" w:eastAsia="黑体"/>
          <w:sz w:val="32"/>
        </w:rPr>
        <w:t>一、收入支出决算总体情况说明</w:t>
      </w:r>
    </w:p>
    <w:p w14:paraId="5C68EF4B">
      <w:pPr>
        <w:spacing w:line="580" w:lineRule="exact"/>
        <w:ind w:firstLine="640"/>
        <w:jc w:val="both"/>
      </w:pPr>
      <w:r>
        <w:rPr>
          <w:rFonts w:ascii="仿宋_GB2312" w:hAnsi="仿宋_GB2312" w:eastAsia="仿宋_GB2312"/>
          <w:b/>
          <w:sz w:val="32"/>
        </w:rPr>
        <w:t>2024年度收入总计769.06万元，</w:t>
      </w:r>
      <w:r>
        <w:rPr>
          <w:rFonts w:ascii="仿宋_GB2312" w:hAnsi="仿宋_GB2312" w:eastAsia="仿宋_GB2312"/>
          <w:b w:val="0"/>
          <w:sz w:val="32"/>
        </w:rPr>
        <w:t>其中：本年收入合计746.43万元，使用非财政拨款结余（含专用结余）0.00万元，年初结转和结余22.63万元。</w:t>
      </w:r>
    </w:p>
    <w:p w14:paraId="47E3BD01">
      <w:pPr>
        <w:spacing w:line="580" w:lineRule="exact"/>
        <w:ind w:firstLine="640"/>
        <w:jc w:val="both"/>
      </w:pPr>
      <w:r>
        <w:rPr>
          <w:rFonts w:ascii="仿宋_GB2312" w:hAnsi="仿宋_GB2312" w:eastAsia="仿宋_GB2312"/>
          <w:b/>
          <w:sz w:val="32"/>
        </w:rPr>
        <w:t>2024年度支出总计769.06万元，</w:t>
      </w:r>
      <w:r>
        <w:rPr>
          <w:rFonts w:ascii="仿宋_GB2312" w:hAnsi="仿宋_GB2312" w:eastAsia="仿宋_GB2312"/>
          <w:b w:val="0"/>
          <w:sz w:val="32"/>
        </w:rPr>
        <w:t>其中：本年支出合计746.41万元，结余分配0.00万元，年末结转和结余22.65万元。</w:t>
      </w:r>
    </w:p>
    <w:p w14:paraId="577AE030">
      <w:pPr>
        <w:spacing w:line="580" w:lineRule="exact"/>
        <w:ind w:firstLine="640"/>
        <w:jc w:val="both"/>
      </w:pPr>
      <w:r>
        <w:rPr>
          <w:rFonts w:ascii="仿宋_GB2312" w:hAnsi="仿宋_GB2312" w:eastAsia="仿宋_GB2312"/>
          <w:b w:val="0"/>
          <w:sz w:val="32"/>
        </w:rPr>
        <w:t>收入支出总体与上年相比，减少40.35万元，下降4.99%，主要原因是：本年减少退役军人生活补助、自主就业退役士兵一次性补助金、春节慰问经费、重点优抚对象医疗经费等资金。</w:t>
      </w:r>
    </w:p>
    <w:p w14:paraId="7169A7A6">
      <w:pPr>
        <w:spacing w:line="640" w:lineRule="exact"/>
        <w:ind w:firstLine="640"/>
        <w:jc w:val="both"/>
        <w:outlineLvl w:val="2"/>
      </w:pPr>
      <w:r>
        <w:rPr>
          <w:rFonts w:ascii="黑体" w:hAnsi="黑体" w:eastAsia="黑体"/>
          <w:sz w:val="32"/>
        </w:rPr>
        <w:t>二、收入决算情况说明</w:t>
      </w:r>
    </w:p>
    <w:p w14:paraId="013F944B">
      <w:pPr>
        <w:spacing w:line="580" w:lineRule="exact"/>
        <w:ind w:firstLine="640"/>
        <w:jc w:val="both"/>
      </w:pPr>
      <w:r>
        <w:rPr>
          <w:rFonts w:ascii="仿宋_GB2312" w:hAnsi="仿宋_GB2312" w:eastAsia="仿宋_GB2312"/>
          <w:b/>
          <w:sz w:val="32"/>
        </w:rPr>
        <w:t>本年收入746.43万元，</w:t>
      </w:r>
      <w:r>
        <w:rPr>
          <w:rFonts w:ascii="仿宋_GB2312" w:hAnsi="仿宋_GB2312" w:eastAsia="仿宋_GB2312"/>
          <w:b w:val="0"/>
          <w:sz w:val="32"/>
        </w:rPr>
        <w:t>其中：财政拨款收入746.41万元，占100.00%；上级补助收入0.00万元，占0.00%；事业收入0.00万元，占0.00%；经营收入0.00万元，占0.00%；附属单位上缴收入0.00万元，占0.00%；其他收入0.02万元，占0.003%。</w:t>
      </w:r>
    </w:p>
    <w:p w14:paraId="6F0EFD15">
      <w:pPr>
        <w:spacing w:line="640" w:lineRule="exact"/>
        <w:ind w:firstLine="640"/>
        <w:jc w:val="both"/>
        <w:outlineLvl w:val="2"/>
      </w:pPr>
      <w:r>
        <w:rPr>
          <w:rFonts w:ascii="黑体" w:hAnsi="黑体" w:eastAsia="黑体"/>
          <w:sz w:val="32"/>
        </w:rPr>
        <w:t>三、支出决算情况说明</w:t>
      </w:r>
    </w:p>
    <w:p w14:paraId="48A1B5F2">
      <w:pPr>
        <w:spacing w:line="580" w:lineRule="exact"/>
        <w:ind w:firstLine="640"/>
        <w:jc w:val="both"/>
      </w:pPr>
      <w:r>
        <w:rPr>
          <w:rFonts w:ascii="仿宋_GB2312" w:hAnsi="仿宋_GB2312" w:eastAsia="仿宋_GB2312"/>
          <w:b/>
          <w:sz w:val="32"/>
        </w:rPr>
        <w:t>本年支出746.41万元，</w:t>
      </w:r>
      <w:r>
        <w:rPr>
          <w:rFonts w:ascii="仿宋_GB2312" w:hAnsi="仿宋_GB2312" w:eastAsia="仿宋_GB2312"/>
          <w:b w:val="0"/>
          <w:sz w:val="32"/>
        </w:rPr>
        <w:t>其中：基本支出746.41万元，占100.00%；项目支出0.00万元，占0.00%；上缴上级支出0.00万元，占0.00%；经营支出0.00万元，占0.00%；对附属单位补助支出0.00万元，占0.00%。</w:t>
      </w:r>
    </w:p>
    <w:p w14:paraId="3D179DD6">
      <w:pPr>
        <w:spacing w:line="640" w:lineRule="exact"/>
        <w:ind w:firstLine="640"/>
        <w:jc w:val="both"/>
        <w:outlineLvl w:val="2"/>
      </w:pPr>
      <w:r>
        <w:rPr>
          <w:rFonts w:ascii="黑体" w:hAnsi="黑体" w:eastAsia="黑体"/>
          <w:sz w:val="32"/>
        </w:rPr>
        <w:t>四、财政拨款收入支出决算总体情况说明</w:t>
      </w:r>
    </w:p>
    <w:p w14:paraId="0A299723">
      <w:pPr>
        <w:spacing w:line="580" w:lineRule="exact"/>
        <w:ind w:firstLine="640"/>
        <w:jc w:val="both"/>
      </w:pPr>
      <w:r>
        <w:rPr>
          <w:rFonts w:ascii="仿宋_GB2312" w:hAnsi="仿宋_GB2312" w:eastAsia="仿宋_GB2312"/>
          <w:b/>
          <w:sz w:val="32"/>
        </w:rPr>
        <w:t>2024年度财政拨款收入总计746.41万元，</w:t>
      </w:r>
      <w:r>
        <w:rPr>
          <w:rFonts w:ascii="仿宋_GB2312" w:hAnsi="仿宋_GB2312" w:eastAsia="仿宋_GB2312"/>
          <w:b w:val="0"/>
          <w:sz w:val="32"/>
        </w:rPr>
        <w:t>其中：年初财政拨款结转和结余0.00万元，本年财政拨款收入746.41万元。</w:t>
      </w:r>
      <w:r>
        <w:rPr>
          <w:rFonts w:ascii="仿宋_GB2312" w:hAnsi="仿宋_GB2312" w:eastAsia="仿宋_GB2312"/>
          <w:b/>
          <w:sz w:val="32"/>
        </w:rPr>
        <w:t>财政拨款支出总计746.41万元，</w:t>
      </w:r>
      <w:r>
        <w:rPr>
          <w:rFonts w:ascii="仿宋_GB2312" w:hAnsi="仿宋_GB2312" w:eastAsia="仿宋_GB2312"/>
          <w:b w:val="0"/>
          <w:sz w:val="32"/>
        </w:rPr>
        <w:t>其中：年末财政拨款结转和结余0.00万元，本年财政拨款支出746.41万元。</w:t>
      </w:r>
    </w:p>
    <w:p w14:paraId="46B9DB1B">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减少39.30万元，下降5.00%，主要原因是：本年减少退役军人生活补助、自主就业退役士兵一次性补助金、春节慰问经费、重点优抚对象医疗经费等资金。</w:t>
      </w:r>
      <w:r>
        <w:rPr>
          <w:rFonts w:ascii="仿宋_GB2312" w:hAnsi="仿宋_GB2312" w:eastAsia="仿宋_GB2312"/>
          <w:b/>
          <w:sz w:val="32"/>
        </w:rPr>
        <w:t>与年初预算相比，</w:t>
      </w:r>
      <w:r>
        <w:rPr>
          <w:rFonts w:ascii="仿宋_GB2312" w:hAnsi="仿宋_GB2312" w:eastAsia="仿宋_GB2312"/>
          <w:b w:val="0"/>
          <w:sz w:val="32"/>
        </w:rPr>
        <w:t>年初预算数721.04万元，决算数746.41万元，预决算差异率3.52%，主要原因是：年中追加人员工资、社保、公积金基数调增部分资金，导致预决算存在差异。</w:t>
      </w:r>
    </w:p>
    <w:p w14:paraId="54526F95">
      <w:pPr>
        <w:spacing w:line="640" w:lineRule="exact"/>
        <w:ind w:firstLine="640"/>
        <w:jc w:val="both"/>
        <w:outlineLvl w:val="2"/>
      </w:pPr>
      <w:r>
        <w:rPr>
          <w:rFonts w:ascii="黑体" w:hAnsi="黑体" w:eastAsia="黑体"/>
          <w:sz w:val="32"/>
        </w:rPr>
        <w:t>五、一般公共预算财政拨款支出决算情况说明</w:t>
      </w:r>
    </w:p>
    <w:p w14:paraId="06278B18">
      <w:pPr>
        <w:spacing w:line="640" w:lineRule="exact"/>
        <w:ind w:firstLine="640"/>
        <w:jc w:val="both"/>
        <w:outlineLvl w:val="3"/>
      </w:pPr>
      <w:r>
        <w:rPr>
          <w:rFonts w:ascii="楷体_GB2312" w:hAnsi="楷体_GB2312" w:eastAsia="楷体_GB2312"/>
          <w:b/>
          <w:sz w:val="32"/>
        </w:rPr>
        <w:t>（一）一般公共预算财政拨款支出决算总体情况</w:t>
      </w:r>
    </w:p>
    <w:p w14:paraId="76D1608C">
      <w:pPr>
        <w:spacing w:line="580" w:lineRule="exact"/>
        <w:ind w:firstLine="640"/>
        <w:jc w:val="both"/>
      </w:pPr>
      <w:r>
        <w:rPr>
          <w:rFonts w:ascii="仿宋_GB2312" w:hAnsi="仿宋_GB2312" w:eastAsia="仿宋_GB2312"/>
          <w:b/>
          <w:sz w:val="32"/>
        </w:rPr>
        <w:t>2024年度一般公共预算财政拨款支出746.41万元，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减少39.30万元，下降5.00%，主要原因是：本年减少退役军人生活补助、自主就业退役士兵一次性补助金、春节慰问经费、重点优抚对象医疗经费等资金。</w:t>
      </w:r>
      <w:r>
        <w:rPr>
          <w:rFonts w:ascii="仿宋_GB2312" w:hAnsi="仿宋_GB2312" w:eastAsia="仿宋_GB2312"/>
          <w:b/>
          <w:sz w:val="32"/>
        </w:rPr>
        <w:t>与年初预算相比,</w:t>
      </w:r>
      <w:r>
        <w:rPr>
          <w:rFonts w:ascii="仿宋_GB2312" w:hAnsi="仿宋_GB2312" w:eastAsia="仿宋_GB2312"/>
          <w:b w:val="0"/>
          <w:sz w:val="32"/>
        </w:rPr>
        <w:t>年初预算数721.04万元，决算数746.41万元，预决算差异率3.52%，主要原因是：年中追加人员工资、社保、公积金基数调增部分资金，导致预决算存在差异。</w:t>
      </w:r>
    </w:p>
    <w:p w14:paraId="315BFAF5">
      <w:pPr>
        <w:spacing w:line="640" w:lineRule="exact"/>
        <w:ind w:firstLine="640"/>
        <w:jc w:val="both"/>
        <w:outlineLvl w:val="3"/>
      </w:pPr>
      <w:r>
        <w:rPr>
          <w:rFonts w:ascii="楷体_GB2312" w:hAnsi="楷体_GB2312" w:eastAsia="楷体_GB2312"/>
          <w:b/>
          <w:sz w:val="32"/>
        </w:rPr>
        <w:t>（二）一般公共预算财政拨款支出决算结构情况</w:t>
      </w:r>
    </w:p>
    <w:p w14:paraId="64CDA2F6">
      <w:pPr>
        <w:spacing w:line="580" w:lineRule="exact"/>
        <w:ind w:firstLine="640"/>
        <w:jc w:val="both"/>
      </w:pPr>
      <w:r>
        <w:rPr>
          <w:rFonts w:ascii="仿宋_GB2312" w:hAnsi="仿宋_GB2312" w:eastAsia="仿宋_GB2312"/>
          <w:b w:val="0"/>
          <w:sz w:val="32"/>
        </w:rPr>
        <w:t>1.教育支出(类)0.50万元,占0.07%。</w:t>
      </w:r>
    </w:p>
    <w:p w14:paraId="495AA840">
      <w:pPr>
        <w:spacing w:line="580" w:lineRule="exact"/>
        <w:ind w:firstLine="640"/>
        <w:jc w:val="both"/>
      </w:pPr>
      <w:r>
        <w:rPr>
          <w:rFonts w:ascii="仿宋_GB2312" w:hAnsi="仿宋_GB2312" w:eastAsia="仿宋_GB2312"/>
          <w:b w:val="0"/>
          <w:sz w:val="32"/>
        </w:rPr>
        <w:t>2.社会保障和就业支出(类)714.25万元,占95.69%。</w:t>
      </w:r>
    </w:p>
    <w:p w14:paraId="647DBAB5">
      <w:pPr>
        <w:spacing w:line="580" w:lineRule="exact"/>
        <w:ind w:firstLine="640"/>
        <w:jc w:val="both"/>
      </w:pPr>
      <w:r>
        <w:rPr>
          <w:rFonts w:ascii="仿宋_GB2312" w:hAnsi="仿宋_GB2312" w:eastAsia="仿宋_GB2312"/>
          <w:b w:val="0"/>
          <w:sz w:val="32"/>
        </w:rPr>
        <w:t>3.卫生健康支出(类)17.63万元,占2.36%。</w:t>
      </w:r>
    </w:p>
    <w:p w14:paraId="4E12038F">
      <w:pPr>
        <w:spacing w:line="580" w:lineRule="exact"/>
        <w:ind w:firstLine="640"/>
        <w:jc w:val="both"/>
      </w:pPr>
      <w:r>
        <w:rPr>
          <w:rFonts w:ascii="仿宋_GB2312" w:hAnsi="仿宋_GB2312" w:eastAsia="仿宋_GB2312"/>
          <w:b w:val="0"/>
          <w:sz w:val="32"/>
        </w:rPr>
        <w:t>4.住房保障支出(类)14.04万元,占1.88%。</w:t>
      </w:r>
    </w:p>
    <w:p w14:paraId="280B7FB1">
      <w:pPr>
        <w:spacing w:line="640" w:lineRule="exact"/>
        <w:ind w:firstLine="640"/>
        <w:jc w:val="both"/>
        <w:outlineLvl w:val="3"/>
      </w:pPr>
      <w:r>
        <w:rPr>
          <w:rFonts w:ascii="楷体_GB2312" w:hAnsi="楷体_GB2312" w:eastAsia="楷体_GB2312"/>
          <w:b/>
          <w:sz w:val="32"/>
        </w:rPr>
        <w:t>（三）一般公共预算财政拨款支出决算具体情况</w:t>
      </w:r>
    </w:p>
    <w:p w14:paraId="00E95644">
      <w:pPr>
        <w:spacing w:line="580" w:lineRule="exact"/>
        <w:ind w:firstLine="640"/>
        <w:jc w:val="both"/>
      </w:pPr>
      <w:r>
        <w:rPr>
          <w:rFonts w:ascii="仿宋_GB2312" w:hAnsi="仿宋_GB2312" w:eastAsia="仿宋_GB2312"/>
          <w:b w:val="0"/>
          <w:sz w:val="32"/>
        </w:rPr>
        <w:t>1.教育支出(类)进修及培训(款)培训支出(项):支出决算数为0.50万元，比上年决算增加0.50万元，增长100.00%,主要原因是：本年增加春季青年干部培训班经费。</w:t>
      </w:r>
    </w:p>
    <w:p w14:paraId="5A8A7BCF">
      <w:pPr>
        <w:spacing w:line="580" w:lineRule="exact"/>
        <w:ind w:firstLine="640"/>
        <w:jc w:val="both"/>
      </w:pPr>
      <w:r>
        <w:rPr>
          <w:rFonts w:ascii="仿宋_GB2312" w:hAnsi="仿宋_GB2312" w:eastAsia="仿宋_GB2312"/>
          <w:b w:val="0"/>
          <w:sz w:val="32"/>
        </w:rPr>
        <w:t>2.社会保障和就业支出(类)行政事业单位养老支出(款)行政单位离退休(项):支出决算数为1.65万元，比上年决算增加0.74万元，增长81.32%,主要原因是：本年增加退休人员基础绩效奖，退休费支出增加。</w:t>
      </w:r>
    </w:p>
    <w:p w14:paraId="35E43675">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14.08万元，比上年决算增加2.33万元，增长19.83%,主要原因是：本年在职人员增加，养老保险缴费较上年增加。</w:t>
      </w:r>
    </w:p>
    <w:p w14:paraId="700AB07A">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0.00万元，比上年决算减少7.06万元，下降100.00%,主要原因是：本年无新增退休人员，职业年金缴费较上年减少。</w:t>
      </w:r>
    </w:p>
    <w:p w14:paraId="57F1475F">
      <w:pPr>
        <w:spacing w:line="580" w:lineRule="exact"/>
        <w:ind w:firstLine="640"/>
        <w:jc w:val="both"/>
      </w:pPr>
      <w:r>
        <w:rPr>
          <w:rFonts w:ascii="仿宋_GB2312" w:hAnsi="仿宋_GB2312" w:eastAsia="仿宋_GB2312"/>
          <w:b w:val="0"/>
          <w:sz w:val="32"/>
        </w:rPr>
        <w:t>5.社会保障和就业支出(类)抚恤(款)伤残抚恤(项):支出决算数为61.08万元，比上年决算增加61.08万元，增长100.00%,主要原因是：本年功能科目调整，中央财政优抚对象资金经费上年度在其他优抚支出科目列支，本年在伤残抚恤科目列支，导致经费较上年增加。</w:t>
      </w:r>
    </w:p>
    <w:p w14:paraId="0184D261">
      <w:pPr>
        <w:spacing w:line="580" w:lineRule="exact"/>
        <w:ind w:firstLine="640"/>
        <w:jc w:val="both"/>
      </w:pPr>
      <w:r>
        <w:rPr>
          <w:rFonts w:ascii="仿宋_GB2312" w:hAnsi="仿宋_GB2312" w:eastAsia="仿宋_GB2312"/>
          <w:b w:val="0"/>
          <w:sz w:val="32"/>
        </w:rPr>
        <w:t>6.社会保障和就业支出(类)抚恤(款)在乡复员、退伍军人生活补助(项):支出决算数为85.67万元，比上年决算增加85.67万元，增长100.00%,主要原因是：本年功能科目调整，第二批中央财政优抚对象资金经费上年度在其他优抚支出科目列支，本年在乡复员、退伍军人生活补助科目列支，导致经费较上年增加。</w:t>
      </w:r>
    </w:p>
    <w:p w14:paraId="374135A6">
      <w:pPr>
        <w:spacing w:line="580" w:lineRule="exact"/>
        <w:ind w:firstLine="640"/>
        <w:jc w:val="both"/>
      </w:pPr>
      <w:r>
        <w:rPr>
          <w:rFonts w:ascii="仿宋_GB2312" w:hAnsi="仿宋_GB2312" w:eastAsia="仿宋_GB2312"/>
          <w:b w:val="0"/>
          <w:sz w:val="32"/>
        </w:rPr>
        <w:t>7.社会保障和就业支出(类)抚恤(款)义务兵优待(项):支出决算数为52.00万元，比上年决算增加31.68万元，增长155.91%,主要原因是：本年功能科目调整，自治区财政优抚对象资金经费上年度在其他优抚支出科目列支，本年在义务兵优待科目列支，导致经费较上年增加。</w:t>
      </w:r>
    </w:p>
    <w:p w14:paraId="010DA295">
      <w:pPr>
        <w:spacing w:line="580" w:lineRule="exact"/>
        <w:ind w:firstLine="640"/>
        <w:jc w:val="both"/>
      </w:pPr>
      <w:r>
        <w:rPr>
          <w:rFonts w:ascii="仿宋_GB2312" w:hAnsi="仿宋_GB2312" w:eastAsia="仿宋_GB2312"/>
          <w:b w:val="0"/>
          <w:sz w:val="32"/>
        </w:rPr>
        <w:t>8.社会保障和就业支出(类)抚恤(款)农村籍退役士兵老年生活补助(项):支出决算数为128.34万元，比上年决算增加128.34万元，增长100.00%,主要原因是：本年功能科目调整，第三批中央财政优抚对象资金经费上年度在其他优抚支出科目列支，本年在农村籍退役士兵老年生活补助科目列支，导致经费较上年增加。</w:t>
      </w:r>
    </w:p>
    <w:p w14:paraId="2F2D8E2A">
      <w:pPr>
        <w:spacing w:line="580" w:lineRule="exact"/>
        <w:ind w:firstLine="640"/>
        <w:jc w:val="both"/>
      </w:pPr>
      <w:r>
        <w:rPr>
          <w:rFonts w:ascii="仿宋_GB2312" w:hAnsi="仿宋_GB2312" w:eastAsia="仿宋_GB2312"/>
          <w:b w:val="0"/>
          <w:sz w:val="32"/>
        </w:rPr>
        <w:t>9.社会保障和就业支出(类)抚恤(款)其他优抚支出(项):支出决算数为76.65万元，比上年决算减少282.84万元，下降78.68%,主要原因是：本年功能科目调整，中央财政优抚对象资金经费上年度在其他优抚支出科目列支，本年在伤残抚恤科目列支</w:t>
      </w:r>
      <w:r>
        <w:rPr>
          <w:rFonts w:hint="eastAsia" w:ascii="仿宋_GB2312" w:hAnsi="仿宋_GB2312" w:eastAsia="仿宋_GB2312"/>
          <w:b w:val="0"/>
          <w:sz w:val="32"/>
          <w:lang w:eastAsia="zh-CN"/>
        </w:rPr>
        <w:t>；</w:t>
      </w:r>
      <w:r>
        <w:rPr>
          <w:rFonts w:ascii="仿宋_GB2312" w:hAnsi="仿宋_GB2312" w:eastAsia="仿宋_GB2312"/>
          <w:b w:val="0"/>
          <w:sz w:val="32"/>
        </w:rPr>
        <w:t>第二批中央财政优抚对象资金经费上年度在其他优抚支出科目列支，本年在乡复员、退伍军人生活补助科目列支</w:t>
      </w:r>
      <w:r>
        <w:rPr>
          <w:rFonts w:hint="eastAsia" w:ascii="仿宋_GB2312" w:hAnsi="仿宋_GB2312" w:eastAsia="仿宋_GB2312"/>
          <w:b w:val="0"/>
          <w:sz w:val="32"/>
          <w:lang w:eastAsia="zh-CN"/>
        </w:rPr>
        <w:t>；</w:t>
      </w:r>
      <w:r>
        <w:rPr>
          <w:rFonts w:ascii="仿宋_GB2312" w:hAnsi="仿宋_GB2312" w:eastAsia="仿宋_GB2312"/>
          <w:b w:val="0"/>
          <w:sz w:val="32"/>
        </w:rPr>
        <w:t>自治区财政优抚对象资金经费上年度在其他优抚支出科目列支，本年在义务兵优待科目列支</w:t>
      </w:r>
      <w:r>
        <w:rPr>
          <w:rFonts w:hint="eastAsia" w:ascii="仿宋_GB2312" w:hAnsi="仿宋_GB2312" w:eastAsia="仿宋_GB2312"/>
          <w:b w:val="0"/>
          <w:sz w:val="32"/>
          <w:lang w:eastAsia="zh-CN"/>
        </w:rPr>
        <w:t>；</w:t>
      </w:r>
      <w:r>
        <w:rPr>
          <w:rFonts w:ascii="仿宋_GB2312" w:hAnsi="仿宋_GB2312" w:eastAsia="仿宋_GB2312"/>
          <w:b w:val="0"/>
          <w:sz w:val="32"/>
        </w:rPr>
        <w:t>第三批中央财政优抚对象资金经费上年度在其他优抚支出科目列支，本年在农村籍退役士兵老年生活补助科目列支，导致经费较上年减少。</w:t>
      </w:r>
    </w:p>
    <w:p w14:paraId="7B64256F">
      <w:pPr>
        <w:spacing w:line="580" w:lineRule="exact"/>
        <w:ind w:firstLine="640"/>
        <w:jc w:val="both"/>
      </w:pPr>
      <w:r>
        <w:rPr>
          <w:rFonts w:ascii="仿宋_GB2312" w:hAnsi="仿宋_GB2312" w:eastAsia="仿宋_GB2312"/>
          <w:b w:val="0"/>
          <w:sz w:val="32"/>
        </w:rPr>
        <w:t>10.社会保障和就业支出(类)退役安置(款)退役士兵安置(项):支出决算数为0.00万元，比上年决算减少114.00万元，下降100.00%,主要原因是：本年减少自主就业退役士兵一次性补助金支出。</w:t>
      </w:r>
    </w:p>
    <w:p w14:paraId="0C0B744A">
      <w:pPr>
        <w:spacing w:line="580" w:lineRule="exact"/>
        <w:ind w:firstLine="640"/>
        <w:jc w:val="both"/>
      </w:pPr>
      <w:r>
        <w:rPr>
          <w:rFonts w:ascii="仿宋_GB2312" w:hAnsi="仿宋_GB2312" w:eastAsia="仿宋_GB2312"/>
          <w:b w:val="0"/>
          <w:sz w:val="32"/>
        </w:rPr>
        <w:t>11.社会保障和就业支出(类)退役安置(款)军队移交政府的离退休人员安置(项):支出决算数为22.97万元，比上年决算增加22.97万元，增长100.00%,主要原因是：本年增加退役安置补助经费支出。</w:t>
      </w:r>
    </w:p>
    <w:p w14:paraId="4F4ACF55">
      <w:pPr>
        <w:spacing w:line="580" w:lineRule="exact"/>
        <w:ind w:firstLine="640"/>
        <w:jc w:val="both"/>
      </w:pPr>
      <w:r>
        <w:rPr>
          <w:rFonts w:ascii="仿宋_GB2312" w:hAnsi="仿宋_GB2312" w:eastAsia="仿宋_GB2312"/>
          <w:b w:val="0"/>
          <w:sz w:val="32"/>
        </w:rPr>
        <w:t>12.社会保障和就业支出(类)退役安置(款)军队移交政府离退休干部管理机构(项):支出决算数为3.00万元，比上年决算增加3.00万元，增长100.00%,主要原因是：本年增加自治区退役安置补助经费支出。</w:t>
      </w:r>
    </w:p>
    <w:p w14:paraId="0FF6A9E3">
      <w:pPr>
        <w:spacing w:line="580" w:lineRule="exact"/>
        <w:ind w:firstLine="640"/>
        <w:jc w:val="both"/>
      </w:pPr>
      <w:r>
        <w:rPr>
          <w:rFonts w:ascii="仿宋_GB2312" w:hAnsi="仿宋_GB2312" w:eastAsia="仿宋_GB2312"/>
          <w:b w:val="0"/>
          <w:sz w:val="32"/>
        </w:rPr>
        <w:t>13.社会保障和就业支出(类)退役安置(款)军队转业干部安置(项):支出决算数为11.79万元，比上年决算增加9.53万元，增长421.68%,主要原因是：本年增加企业军转干部生活困难补助经费、自治区部分军队</w:t>
      </w:r>
      <w:r>
        <w:rPr>
          <w:rFonts w:hint="eastAsia" w:ascii="仿宋_GB2312" w:hAnsi="仿宋_GB2312" w:eastAsia="仿宋_GB2312"/>
          <w:b w:val="0"/>
          <w:sz w:val="32"/>
          <w:lang w:eastAsia="zh-CN"/>
        </w:rPr>
        <w:t>复员</w:t>
      </w:r>
      <w:r>
        <w:rPr>
          <w:rFonts w:ascii="仿宋_GB2312" w:hAnsi="仿宋_GB2312" w:eastAsia="仿宋_GB2312"/>
          <w:b w:val="0"/>
          <w:sz w:val="32"/>
        </w:rPr>
        <w:t>干部补助经费支出。</w:t>
      </w:r>
    </w:p>
    <w:p w14:paraId="1866935A">
      <w:pPr>
        <w:spacing w:line="580" w:lineRule="exact"/>
        <w:ind w:firstLine="640"/>
        <w:jc w:val="both"/>
      </w:pPr>
      <w:r>
        <w:rPr>
          <w:rFonts w:ascii="仿宋_GB2312" w:hAnsi="仿宋_GB2312" w:eastAsia="仿宋_GB2312"/>
          <w:b w:val="0"/>
          <w:sz w:val="32"/>
        </w:rPr>
        <w:t>14.社会保障和就业支出(类)退役安置(款)其他退役安置支出(项):支出决算数为116.21万元，比上年决算增加24.54万元，增长26.77%,主要原因是：本年度自主择业军转干部人员增加，相应自主择业军转干部医疗保险及取暖费增加。</w:t>
      </w:r>
    </w:p>
    <w:p w14:paraId="56CB282E">
      <w:pPr>
        <w:spacing w:line="580" w:lineRule="exact"/>
        <w:ind w:firstLine="640"/>
        <w:jc w:val="both"/>
      </w:pPr>
      <w:r>
        <w:rPr>
          <w:rFonts w:ascii="仿宋_GB2312" w:hAnsi="仿宋_GB2312" w:eastAsia="仿宋_GB2312"/>
          <w:b w:val="0"/>
          <w:sz w:val="32"/>
        </w:rPr>
        <w:t>15.社会保障和就业支出(类)退役军人管理事务(款)行政运行(项):支出决算数为79.51万元，比上年决算减少15.58万元，下降16.38%,主要原因是：本年减少春节慰问经费支出，故行政运行支出较上年减少。</w:t>
      </w:r>
    </w:p>
    <w:p w14:paraId="2DA7BC86">
      <w:pPr>
        <w:spacing w:line="580" w:lineRule="exact"/>
        <w:ind w:firstLine="640"/>
        <w:jc w:val="both"/>
      </w:pPr>
      <w:r>
        <w:rPr>
          <w:rFonts w:ascii="仿宋_GB2312" w:hAnsi="仿宋_GB2312" w:eastAsia="仿宋_GB2312"/>
          <w:b w:val="0"/>
          <w:sz w:val="32"/>
        </w:rPr>
        <w:t>16.社会保障和就业支出(类)退役军人管理事务(款)拥军优属(项):支出决算数为29.09万元，比上年决算增加11.29万元，增长63.43%,主要原因是：本年增加驻县慰问款支出、烈士子女“八一”慰问费。</w:t>
      </w:r>
    </w:p>
    <w:p w14:paraId="78DBE878">
      <w:pPr>
        <w:spacing w:line="580" w:lineRule="exact"/>
        <w:ind w:firstLine="640"/>
        <w:jc w:val="both"/>
      </w:pPr>
      <w:r>
        <w:rPr>
          <w:rFonts w:ascii="仿宋_GB2312" w:hAnsi="仿宋_GB2312" w:eastAsia="仿宋_GB2312"/>
          <w:b w:val="0"/>
          <w:sz w:val="32"/>
        </w:rPr>
        <w:t>17.社会保障和就业支出(类)退役军人管理事务(款)事业运行(项):支出决算数为32.22万元，比上年决算增加7.43万元，增长29.97%,主要原因是：本年新增在职人员，人员经费增加，导致经费较上年有所增加。</w:t>
      </w:r>
    </w:p>
    <w:p w14:paraId="1588F47C">
      <w:pPr>
        <w:spacing w:line="580" w:lineRule="exact"/>
        <w:ind w:firstLine="640"/>
        <w:jc w:val="both"/>
      </w:pPr>
      <w:r>
        <w:rPr>
          <w:rFonts w:ascii="仿宋_GB2312" w:hAnsi="仿宋_GB2312" w:eastAsia="仿宋_GB2312"/>
          <w:b w:val="0"/>
          <w:sz w:val="32"/>
        </w:rPr>
        <w:t>18.社会保障和就业支出(类)退役军人管理事务(款)其他退役军人事务管理支出(项):支出决算数为0.00万元，比上年决算减少8.87万元，下降100.00%,主要原因是：本年功能科目调整，退役人员的生活补助上年在其他退役军人事务管理支出科目列支，本年在行政运行科目列支，导致经费减少。</w:t>
      </w:r>
    </w:p>
    <w:p w14:paraId="73EE063E">
      <w:pPr>
        <w:spacing w:line="580" w:lineRule="exact"/>
        <w:ind w:firstLine="640"/>
        <w:jc w:val="both"/>
      </w:pPr>
      <w:r>
        <w:rPr>
          <w:rFonts w:ascii="仿宋_GB2312" w:hAnsi="仿宋_GB2312" w:eastAsia="仿宋_GB2312"/>
          <w:b w:val="0"/>
          <w:sz w:val="32"/>
        </w:rPr>
        <w:t>19.卫生健康支出(类)卫生健康管理事务(款)行政运行(项):支出决算数为0.00万元，比上年决算减少0.32万元，下降100.00%,主要原因是：本年减少卫生健康管理办公费。</w:t>
      </w:r>
    </w:p>
    <w:p w14:paraId="2A586532">
      <w:pPr>
        <w:spacing w:line="580" w:lineRule="exact"/>
        <w:ind w:firstLine="640"/>
        <w:jc w:val="both"/>
      </w:pPr>
      <w:r>
        <w:rPr>
          <w:rFonts w:ascii="仿宋_GB2312" w:hAnsi="仿宋_GB2312" w:eastAsia="仿宋_GB2312"/>
          <w:b w:val="0"/>
          <w:sz w:val="32"/>
        </w:rPr>
        <w:t>20.卫生健康支出(类)行政事业单位医疗(款)行政单位医疗(项):支出决算数为4.64万元，比上年决算增加0.42万元，增长9.95%,主要原因是：本年在职人员工资基数调增，医疗缴费基数上涨，相应支出增加。</w:t>
      </w:r>
    </w:p>
    <w:p w14:paraId="352FA69A">
      <w:pPr>
        <w:spacing w:line="580" w:lineRule="exact"/>
        <w:ind w:firstLine="640"/>
        <w:jc w:val="both"/>
      </w:pPr>
      <w:r>
        <w:rPr>
          <w:rFonts w:ascii="仿宋_GB2312" w:hAnsi="仿宋_GB2312" w:eastAsia="仿宋_GB2312"/>
          <w:b w:val="0"/>
          <w:sz w:val="32"/>
        </w:rPr>
        <w:t>21.卫生健康支出(类)行政事业单位医疗(款)事业单位医疗(项):支出决算数为2.04万元，比上年决算增加0.63万元，增长44.68%,主要原因是：本年在职人员工资基数调增，医疗缴费基数上涨，相应支出增加。</w:t>
      </w:r>
    </w:p>
    <w:p w14:paraId="2F5C9B8B">
      <w:pPr>
        <w:spacing w:line="580" w:lineRule="exact"/>
        <w:ind w:firstLine="640"/>
        <w:jc w:val="both"/>
      </w:pPr>
      <w:r>
        <w:rPr>
          <w:rFonts w:ascii="仿宋_GB2312" w:hAnsi="仿宋_GB2312" w:eastAsia="仿宋_GB2312"/>
          <w:b w:val="0"/>
          <w:sz w:val="32"/>
        </w:rPr>
        <w:t>22.卫生健康支出(类)行政事业单位医疗(款)公务员医疗补助(项):支出决算数为2.02万元，比上年决算增加0.20万元，增长10.99%,主要原因是：本年在职人员工资基数调增，医疗缴费基数上涨，相应支出增加。</w:t>
      </w:r>
    </w:p>
    <w:p w14:paraId="3CC72508">
      <w:pPr>
        <w:spacing w:line="580" w:lineRule="exact"/>
        <w:ind w:firstLine="640"/>
        <w:jc w:val="both"/>
      </w:pPr>
      <w:r>
        <w:rPr>
          <w:rFonts w:ascii="仿宋_GB2312" w:hAnsi="仿宋_GB2312" w:eastAsia="仿宋_GB2312"/>
          <w:b w:val="0"/>
          <w:sz w:val="32"/>
        </w:rPr>
        <w:t>23.卫生健康支出(类)行政事业单位医疗(款)其他行政事业单位医疗支出(项):支出决算数为0.24万元，比上年决算增加0.01万元，增长4.35%,主要原因是：本年在职人员工资基数调增，医疗缴费基数上涨，相应支出增加。</w:t>
      </w:r>
    </w:p>
    <w:p w14:paraId="65BA1AFA">
      <w:pPr>
        <w:spacing w:line="580" w:lineRule="exact"/>
        <w:ind w:firstLine="640"/>
        <w:jc w:val="both"/>
      </w:pPr>
      <w:r>
        <w:rPr>
          <w:rFonts w:ascii="仿宋_GB2312" w:hAnsi="仿宋_GB2312" w:eastAsia="仿宋_GB2312"/>
          <w:b w:val="0"/>
          <w:sz w:val="32"/>
        </w:rPr>
        <w:t>24.卫生健康支出(类)优抚对象医疗(款)优抚对象医疗补助(项):支出决算数为0.15万元，比上年决算减少1.41万元，下降90.38%,主要原因是：本年优抚对象救助金经费</w:t>
      </w:r>
      <w:r>
        <w:rPr>
          <w:rFonts w:hint="eastAsia" w:ascii="仿宋_GB2312" w:hAnsi="仿宋_GB2312" w:eastAsia="仿宋_GB2312"/>
          <w:b w:val="0"/>
          <w:sz w:val="32"/>
          <w:lang w:val="en-US" w:eastAsia="zh-CN"/>
        </w:rPr>
        <w:t>较上年减少</w:t>
      </w:r>
      <w:r>
        <w:rPr>
          <w:rFonts w:ascii="仿宋_GB2312" w:hAnsi="仿宋_GB2312" w:eastAsia="仿宋_GB2312"/>
          <w:b w:val="0"/>
          <w:sz w:val="32"/>
        </w:rPr>
        <w:t>。</w:t>
      </w:r>
    </w:p>
    <w:p w14:paraId="712B3B26">
      <w:pPr>
        <w:spacing w:line="580" w:lineRule="exact"/>
        <w:ind w:firstLine="640"/>
        <w:jc w:val="both"/>
      </w:pPr>
      <w:r>
        <w:rPr>
          <w:rFonts w:ascii="仿宋_GB2312" w:hAnsi="仿宋_GB2312" w:eastAsia="仿宋_GB2312"/>
          <w:b w:val="0"/>
          <w:sz w:val="32"/>
        </w:rPr>
        <w:t>25.卫生健康支出(类)优抚对象医疗(款)其他优抚对象医疗支出(项):支出决算数为8.54万元，比上年决算减少6.17万元，下降41.94%,主要原因是：本年减少重点优抚对象医疗经费支出。</w:t>
      </w:r>
    </w:p>
    <w:p w14:paraId="45956096">
      <w:pPr>
        <w:spacing w:line="580" w:lineRule="exact"/>
        <w:ind w:firstLine="640"/>
        <w:jc w:val="both"/>
      </w:pPr>
      <w:r>
        <w:rPr>
          <w:rFonts w:ascii="仿宋_GB2312" w:hAnsi="仿宋_GB2312" w:eastAsia="仿宋_GB2312"/>
          <w:b w:val="0"/>
          <w:sz w:val="32"/>
        </w:rPr>
        <w:t>26.住房保障支出(类)住房改革支出(款)住房公积金(项):支出决算数为14.04万元，比上年决算增加6.62万元，增长89.22%,主要原因是：本年在职人员工资基数调增，公积金缴费基数上涨，相应支出增加。</w:t>
      </w:r>
    </w:p>
    <w:p w14:paraId="1DA704BE">
      <w:pPr>
        <w:spacing w:line="640" w:lineRule="exact"/>
        <w:ind w:firstLine="640"/>
        <w:jc w:val="both"/>
        <w:outlineLvl w:val="2"/>
      </w:pPr>
      <w:r>
        <w:rPr>
          <w:rFonts w:ascii="黑体" w:hAnsi="黑体" w:eastAsia="黑体"/>
          <w:sz w:val="32"/>
        </w:rPr>
        <w:t>六、一般公共预算财政拨款基本支出决算情况说明</w:t>
      </w:r>
    </w:p>
    <w:p w14:paraId="1EBAD440">
      <w:pPr>
        <w:spacing w:line="580" w:lineRule="exact"/>
        <w:ind w:firstLine="640"/>
        <w:jc w:val="both"/>
      </w:pPr>
      <w:r>
        <w:rPr>
          <w:rFonts w:ascii="仿宋_GB2312" w:hAnsi="仿宋_GB2312" w:eastAsia="仿宋_GB2312"/>
          <w:b w:val="0"/>
          <w:sz w:val="32"/>
        </w:rPr>
        <w:t>2024年度一般公共预算财政拨款基本支出746.41万元，其中：</w:t>
      </w:r>
      <w:r>
        <w:rPr>
          <w:rFonts w:ascii="仿宋_GB2312" w:hAnsi="仿宋_GB2312" w:eastAsia="仿宋_GB2312"/>
          <w:b/>
          <w:sz w:val="32"/>
        </w:rPr>
        <w:t>人员经费717.41万元，</w:t>
      </w:r>
      <w:r>
        <w:rPr>
          <w:rFonts w:ascii="仿宋_GB2312" w:hAnsi="仿宋_GB2312" w:eastAsia="仿宋_GB2312"/>
          <w:b w:val="0"/>
          <w:sz w:val="32"/>
        </w:rPr>
        <w:t>包括：基本工资、津贴补贴、奖金、绩效工资、机关事业单位基本养老保险缴费、职工基本医疗保险缴费、公务员医疗补助缴费、其他社会保障缴费、住房公积金、其他工资福利支出、退休费、抚恤金、生活补助、医疗费补助、奖励金。</w:t>
      </w:r>
    </w:p>
    <w:p w14:paraId="326ADAA0">
      <w:pPr>
        <w:spacing w:line="580" w:lineRule="exact"/>
        <w:ind w:firstLine="640"/>
        <w:jc w:val="both"/>
      </w:pPr>
      <w:r>
        <w:rPr>
          <w:rFonts w:ascii="仿宋_GB2312" w:hAnsi="仿宋_GB2312" w:eastAsia="仿宋_GB2312"/>
          <w:b/>
          <w:sz w:val="32"/>
        </w:rPr>
        <w:t>公用经费29.00万元，</w:t>
      </w:r>
      <w:r>
        <w:rPr>
          <w:rFonts w:ascii="仿宋_GB2312" w:hAnsi="仿宋_GB2312" w:eastAsia="仿宋_GB2312"/>
          <w:b w:val="0"/>
          <w:sz w:val="32"/>
        </w:rPr>
        <w:t>包括：办公费、印刷费、电费、邮电费、取暖费、差旅费、培训费、劳务费、工会经费、公务用车运行维护费、其他商品和服务支出、办公设备购置。</w:t>
      </w:r>
    </w:p>
    <w:p w14:paraId="5C5013EF">
      <w:pPr>
        <w:spacing w:line="640" w:lineRule="exact"/>
        <w:ind w:firstLine="640"/>
        <w:jc w:val="both"/>
        <w:outlineLvl w:val="2"/>
      </w:pPr>
      <w:r>
        <w:rPr>
          <w:rFonts w:ascii="黑体" w:hAnsi="黑体" w:eastAsia="黑体"/>
          <w:sz w:val="32"/>
        </w:rPr>
        <w:t>七、政府性基金预算财政拨款收入支出决算情况说明</w:t>
      </w:r>
    </w:p>
    <w:p w14:paraId="32A1CB8E">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46F7DB3C">
      <w:pPr>
        <w:spacing w:line="640" w:lineRule="exact"/>
        <w:ind w:firstLine="640"/>
        <w:jc w:val="both"/>
        <w:outlineLvl w:val="2"/>
      </w:pPr>
      <w:r>
        <w:rPr>
          <w:rFonts w:ascii="黑体" w:hAnsi="黑体" w:eastAsia="黑体"/>
          <w:sz w:val="32"/>
        </w:rPr>
        <w:t>八、国有资本经营预算财政拨款收入支出决算情况说明</w:t>
      </w:r>
    </w:p>
    <w:p w14:paraId="631BC2BC">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531B03B">
      <w:pPr>
        <w:spacing w:line="640" w:lineRule="exact"/>
        <w:ind w:firstLine="640"/>
        <w:jc w:val="both"/>
        <w:outlineLvl w:val="2"/>
      </w:pPr>
      <w:r>
        <w:rPr>
          <w:rFonts w:ascii="黑体" w:hAnsi="黑体" w:eastAsia="黑体"/>
          <w:sz w:val="32"/>
        </w:rPr>
        <w:t>九、财政拨款“三公”经费支出决算情况说明</w:t>
      </w:r>
    </w:p>
    <w:p w14:paraId="28B0FF88">
      <w:pPr>
        <w:spacing w:line="580" w:lineRule="exact"/>
        <w:ind w:firstLine="640"/>
        <w:jc w:val="both"/>
      </w:pPr>
      <w:r>
        <w:rPr>
          <w:rFonts w:ascii="仿宋_GB2312" w:hAnsi="仿宋_GB2312" w:eastAsia="仿宋_GB2312"/>
          <w:b/>
          <w:sz w:val="32"/>
        </w:rPr>
        <w:t>2024年度财政拨款“三公”经费支出1.26万元，</w:t>
      </w:r>
      <w:r>
        <w:rPr>
          <w:rFonts w:ascii="仿宋_GB2312" w:hAnsi="仿宋_GB2312" w:eastAsia="仿宋_GB2312"/>
          <w:b w:val="0"/>
          <w:sz w:val="32"/>
        </w:rPr>
        <w:t>比上年增加1.26万元，增长100.00%，主要原因是：</w:t>
      </w:r>
      <w:r>
        <w:rPr>
          <w:rFonts w:hint="eastAsia" w:ascii="仿宋_GB2312" w:hAnsi="仿宋_GB2312" w:eastAsia="仿宋_GB2312"/>
          <w:b w:val="0"/>
          <w:sz w:val="32"/>
          <w:lang w:val="en-US" w:eastAsia="zh-CN"/>
        </w:rPr>
        <w:t>本年增加</w:t>
      </w:r>
      <w:r>
        <w:rPr>
          <w:rFonts w:ascii="仿宋_GB2312" w:hAnsi="仿宋_GB2312" w:eastAsia="仿宋_GB2312"/>
          <w:b w:val="0"/>
          <w:sz w:val="32"/>
        </w:rPr>
        <w:t>车辆燃油费及车辆保险费，导致财政拨款“三公”经费支出增加。其中：因公出国（境）费支出0.00万元，占0.00%，比上年增加0.00万元，增长0.00%，主要原因是：2023年与2024年均未安排因公出国（境）费支出。公务用车购置及运行维护费支出1.26万元，占100.00%，比上年增加1.26万元，增长100.00%，主要原因是：</w:t>
      </w:r>
      <w:r>
        <w:rPr>
          <w:rFonts w:hint="eastAsia" w:ascii="仿宋_GB2312" w:hAnsi="仿宋_GB2312" w:eastAsia="仿宋_GB2312"/>
          <w:b w:val="0"/>
          <w:sz w:val="32"/>
          <w:lang w:val="en-US" w:eastAsia="zh-CN"/>
        </w:rPr>
        <w:t>本年增加</w:t>
      </w:r>
      <w:r>
        <w:rPr>
          <w:rFonts w:ascii="仿宋_GB2312" w:hAnsi="仿宋_GB2312" w:eastAsia="仿宋_GB2312"/>
          <w:b w:val="0"/>
          <w:sz w:val="32"/>
        </w:rPr>
        <w:t>车辆燃油费及车辆保险费，导致经费增加。公务接待费支出0.00万元，占0.00%，比上年增加0.00万元，增长0.00%，主要原因是：2023年与2024年均未安排公务接待费支出。</w:t>
      </w:r>
    </w:p>
    <w:p w14:paraId="51607369">
      <w:pPr>
        <w:spacing w:line="580" w:lineRule="exact"/>
        <w:ind w:firstLine="640"/>
        <w:jc w:val="both"/>
      </w:pPr>
      <w:r>
        <w:rPr>
          <w:rFonts w:ascii="仿宋_GB2312" w:hAnsi="仿宋_GB2312" w:eastAsia="仿宋_GB2312"/>
          <w:b/>
          <w:sz w:val="32"/>
        </w:rPr>
        <w:t>具体情况如下：</w:t>
      </w:r>
    </w:p>
    <w:p w14:paraId="0C59451B">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E93BB7D">
      <w:pPr>
        <w:spacing w:line="580" w:lineRule="exact"/>
        <w:ind w:firstLine="640"/>
        <w:jc w:val="both"/>
      </w:pPr>
      <w:r>
        <w:rPr>
          <w:rFonts w:ascii="仿宋_GB2312" w:hAnsi="仿宋_GB2312" w:eastAsia="仿宋_GB2312"/>
          <w:b w:val="0"/>
          <w:sz w:val="32"/>
        </w:rPr>
        <w:t>公务用车购置及运行维护费1.26万元，其中：公务用车购置费0.00万元，公务用车运行维护费1.26万元。公务用车运行维护费开支内容包括车辆燃油费及车辆保险费。公务用车购置数0辆，公务用车保有量1辆。国有资产占用情况中固定资产车辆1辆，与公务用车保有量差异原因是：本单位固定资产车辆与公务用车保有量一致无差异。</w:t>
      </w:r>
    </w:p>
    <w:p w14:paraId="58FABE2F">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7983662D">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1.26万元，决算数1.26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1.26万元，决算数1.26万元，预决算差异率0.00%，主要原因是：严格按照预算执行，预决算无差异。公务接待费全年预算数0.00万元，决算数0.00万元，预决算差异率0.00%，主要原因是：本单位无公务接待费。</w:t>
      </w:r>
    </w:p>
    <w:p w14:paraId="6C9B617D">
      <w:pPr>
        <w:spacing w:line="640" w:lineRule="exact"/>
        <w:ind w:firstLine="640"/>
        <w:jc w:val="both"/>
        <w:outlineLvl w:val="2"/>
      </w:pPr>
      <w:r>
        <w:rPr>
          <w:rFonts w:ascii="黑体" w:hAnsi="黑体" w:eastAsia="黑体"/>
          <w:sz w:val="32"/>
        </w:rPr>
        <w:t>十、其他重要事项的情况说明</w:t>
      </w:r>
    </w:p>
    <w:p w14:paraId="00FC7B9E">
      <w:pPr>
        <w:spacing w:line="640" w:lineRule="exact"/>
        <w:ind w:firstLine="640"/>
        <w:jc w:val="both"/>
        <w:outlineLvl w:val="3"/>
      </w:pPr>
      <w:r>
        <w:rPr>
          <w:rFonts w:ascii="楷体_GB2312" w:hAnsi="楷体_GB2312" w:eastAsia="楷体_GB2312"/>
          <w:b/>
          <w:sz w:val="32"/>
        </w:rPr>
        <w:t>（一）机关运行经费及公用经费支出情况</w:t>
      </w:r>
    </w:p>
    <w:p w14:paraId="5CB73474">
      <w:pPr>
        <w:spacing w:line="580" w:lineRule="exact"/>
        <w:ind w:firstLine="640"/>
        <w:jc w:val="both"/>
      </w:pPr>
      <w:r>
        <w:rPr>
          <w:rFonts w:ascii="仿宋_GB2312" w:hAnsi="仿宋_GB2312" w:eastAsia="仿宋_GB2312"/>
          <w:b w:val="0"/>
          <w:sz w:val="32"/>
        </w:rPr>
        <w:t>2024年度和硕县退役军人事务局（行政单位和参照公务员法管理事业单位）机关运行经费支出29.00万元，比上年增加19.04万元，增长191.16%，主要原因是：本年度增加拥军优属办公经费、军队转业干部安置办公经费、军队移交政府离休干部管理机构办公经费、取暖费增加、委托业务费增加，故机关运行经费支出增加。</w:t>
      </w:r>
    </w:p>
    <w:p w14:paraId="0B70C3EB">
      <w:pPr>
        <w:spacing w:line="640" w:lineRule="exact"/>
        <w:ind w:firstLine="640"/>
        <w:jc w:val="both"/>
        <w:outlineLvl w:val="3"/>
      </w:pPr>
      <w:r>
        <w:rPr>
          <w:rFonts w:ascii="楷体_GB2312" w:hAnsi="楷体_GB2312" w:eastAsia="楷体_GB2312"/>
          <w:b/>
          <w:sz w:val="32"/>
        </w:rPr>
        <w:t>（二）政府采购情况</w:t>
      </w:r>
    </w:p>
    <w:p w14:paraId="10CE3F55">
      <w:pPr>
        <w:spacing w:line="580" w:lineRule="exact"/>
        <w:ind w:firstLine="640"/>
        <w:jc w:val="both"/>
      </w:pPr>
      <w:r>
        <w:rPr>
          <w:rFonts w:ascii="仿宋_GB2312" w:hAnsi="仿宋_GB2312" w:eastAsia="仿宋_GB2312"/>
          <w:b w:val="0"/>
          <w:sz w:val="32"/>
        </w:rPr>
        <w:t>2024年度政府采购支出总额10.51万元，其中：政府采购货物支出9.40万元、政府采购工程支出0.00万元、政府采购服务支出1.11万元。</w:t>
      </w:r>
    </w:p>
    <w:p w14:paraId="3D6D141F">
      <w:pPr>
        <w:spacing w:line="580" w:lineRule="exact"/>
        <w:ind w:firstLine="640"/>
        <w:jc w:val="both"/>
      </w:pPr>
      <w:r>
        <w:rPr>
          <w:rFonts w:ascii="仿宋_GB2312" w:hAnsi="仿宋_GB2312" w:eastAsia="仿宋_GB2312"/>
          <w:b w:val="0"/>
          <w:sz w:val="32"/>
        </w:rPr>
        <w:t>授予中小企业合同金额10.51万元，占政府采购支出总额的100.00%，其中：授予小微企业合同金额6.00万元，占政府采购支出总额的57.09%。</w:t>
      </w:r>
    </w:p>
    <w:p w14:paraId="23782E30">
      <w:pPr>
        <w:spacing w:line="640" w:lineRule="exact"/>
        <w:ind w:firstLine="640"/>
        <w:jc w:val="both"/>
        <w:outlineLvl w:val="3"/>
      </w:pPr>
      <w:r>
        <w:rPr>
          <w:rFonts w:ascii="楷体_GB2312" w:hAnsi="楷体_GB2312" w:eastAsia="楷体_GB2312"/>
          <w:b/>
          <w:sz w:val="32"/>
        </w:rPr>
        <w:t>（三）国有资产占用情况说明</w:t>
      </w:r>
    </w:p>
    <w:p w14:paraId="04B98FFB">
      <w:pPr>
        <w:spacing w:line="580" w:lineRule="exact"/>
        <w:ind w:firstLine="640"/>
        <w:jc w:val="both"/>
      </w:pPr>
      <w:r>
        <w:rPr>
          <w:rFonts w:ascii="仿宋_GB2312" w:hAnsi="仿宋_GB2312" w:eastAsia="仿宋_GB2312"/>
          <w:b w:val="0"/>
          <w:sz w:val="32"/>
        </w:rPr>
        <w:t>截至2024年12月31日，房屋0.00平方米，价值0.00万元。车辆1辆，价值8.66万元，其中：副部（省）级及以上领导用车0辆、主要负责人用车0辆、机要通信用车0辆、应急保障用车0辆、执法执勤用车0辆、特种专业技术用车0辆、离退休干部服务用车0辆、其他用车1辆，其他用车主要是：</w:t>
      </w:r>
      <w:r>
        <w:rPr>
          <w:rFonts w:hint="eastAsia" w:ascii="仿宋_GB2312" w:hAnsi="仿宋_GB2312" w:eastAsia="仿宋_GB2312"/>
          <w:b w:val="0"/>
          <w:sz w:val="32"/>
          <w:lang w:val="en-US" w:eastAsia="zh-CN"/>
        </w:rPr>
        <w:t>一般公务用车</w:t>
      </w:r>
      <w:r>
        <w:rPr>
          <w:rFonts w:ascii="仿宋_GB2312" w:hAnsi="仿宋_GB2312" w:eastAsia="仿宋_GB2312"/>
          <w:b w:val="0"/>
          <w:sz w:val="32"/>
        </w:rPr>
        <w:t>。单价100万元（含）以上设备（不含车辆）0台（套）。</w:t>
      </w:r>
    </w:p>
    <w:p w14:paraId="662D4427">
      <w:pPr>
        <w:spacing w:line="640" w:lineRule="exact"/>
        <w:ind w:firstLine="640"/>
        <w:jc w:val="both"/>
        <w:outlineLvl w:val="2"/>
      </w:pPr>
      <w:r>
        <w:rPr>
          <w:rFonts w:ascii="黑体" w:hAnsi="黑体" w:eastAsia="黑体"/>
          <w:sz w:val="32"/>
        </w:rPr>
        <w:t>十一、预算绩效的情况说明</w:t>
      </w:r>
    </w:p>
    <w:p w14:paraId="097440DF">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根据预算绩效管理要求，本单位2024年度预算绩效管理形成整体支出绩效自评表1个，全年预算总额746.41万元，实际执行总额746.41万元；预算绩效评价项目</w:t>
      </w:r>
      <w:r>
        <w:rPr>
          <w:rFonts w:hint="eastAsia" w:ascii="仿宋_GB2312" w:hAnsi="仿宋_GB2312" w:eastAsia="仿宋_GB2312"/>
          <w:b w:val="0"/>
          <w:sz w:val="32"/>
          <w:lang w:val="en-US" w:eastAsia="zh-CN"/>
        </w:rPr>
        <w:t>15</w:t>
      </w:r>
      <w:r>
        <w:rPr>
          <w:rFonts w:ascii="仿宋_GB2312" w:hAnsi="仿宋_GB2312" w:eastAsia="仿宋_GB2312"/>
          <w:b w:val="0"/>
          <w:sz w:val="32"/>
        </w:rPr>
        <w:t>个，全年预算数</w:t>
      </w:r>
      <w:r>
        <w:rPr>
          <w:rFonts w:hint="eastAsia" w:ascii="仿宋_GB2312" w:hAnsi="仿宋_GB2312" w:eastAsia="仿宋_GB2312"/>
          <w:b w:val="0"/>
          <w:sz w:val="32"/>
        </w:rPr>
        <w:t>592.49</w:t>
      </w:r>
      <w:r>
        <w:rPr>
          <w:rFonts w:ascii="仿宋_GB2312" w:hAnsi="仿宋_GB2312" w:eastAsia="仿宋_GB2312"/>
          <w:b w:val="0"/>
          <w:sz w:val="32"/>
        </w:rPr>
        <w:t>万元，全年执行数</w:t>
      </w:r>
      <w:r>
        <w:rPr>
          <w:rFonts w:hint="eastAsia" w:ascii="仿宋_GB2312" w:hAnsi="仿宋_GB2312" w:eastAsia="仿宋_GB2312"/>
          <w:b w:val="0"/>
          <w:sz w:val="32"/>
        </w:rPr>
        <w:t>592.49</w:t>
      </w:r>
      <w:r>
        <w:rPr>
          <w:rFonts w:ascii="仿宋_GB2312" w:hAnsi="仿宋_GB2312" w:eastAsia="仿宋_GB2312"/>
          <w:b w:val="0"/>
          <w:sz w:val="32"/>
        </w:rPr>
        <w:t>万元。预算绩效管理取得的成效：本单位项目绩效自评表SM不予公开。发现的问题及原因：本单位项目绩效自评表SM不予公开。下一步改进措施：本单位项目绩效自评表SM不予公开。具体附整体支出绩效自评表。</w:t>
      </w:r>
    </w:p>
    <w:p w14:paraId="7F0AABEE">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4A3C6C8B">
        <w:tblPrEx>
          <w:tblCellMar>
            <w:top w:w="0" w:type="dxa"/>
            <w:left w:w="108" w:type="dxa"/>
            <w:bottom w:w="0" w:type="dxa"/>
            <w:right w:w="108" w:type="dxa"/>
          </w:tblCellMar>
        </w:tblPrEx>
        <w:tc>
          <w:tcPr>
            <w:tcW w:w="8840" w:type="dxa"/>
            <w:gridSpan w:val="8"/>
            <w:vAlign w:val="center"/>
          </w:tcPr>
          <w:p w14:paraId="750B46D2">
            <w:pPr>
              <w:jc w:val="center"/>
            </w:pPr>
            <w:r>
              <w:rPr>
                <w:rFonts w:ascii="宋体" w:hAnsi="宋体" w:eastAsia="宋体"/>
                <w:sz w:val="24"/>
              </w:rPr>
              <w:t>单位整体支出绩效自评表</w:t>
            </w:r>
          </w:p>
        </w:tc>
      </w:tr>
      <w:tr w14:paraId="096F0011">
        <w:tblPrEx>
          <w:tblCellMar>
            <w:top w:w="0" w:type="dxa"/>
            <w:left w:w="108" w:type="dxa"/>
            <w:bottom w:w="0" w:type="dxa"/>
            <w:right w:w="108" w:type="dxa"/>
          </w:tblCellMar>
        </w:tblPrEx>
        <w:tc>
          <w:tcPr>
            <w:tcW w:w="8840" w:type="dxa"/>
            <w:gridSpan w:val="8"/>
            <w:vAlign w:val="center"/>
          </w:tcPr>
          <w:p w14:paraId="5B62523A">
            <w:pPr>
              <w:jc w:val="center"/>
            </w:pPr>
            <w:r>
              <w:rPr>
                <w:rFonts w:ascii="宋体" w:hAnsi="宋体" w:eastAsia="宋体"/>
                <w:sz w:val="24"/>
              </w:rPr>
              <w:t>（2024年度）</w:t>
            </w:r>
          </w:p>
        </w:tc>
      </w:tr>
      <w:tr w14:paraId="68199DF8">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910A12">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2A1522">
            <w:pPr>
              <w:jc w:val="center"/>
            </w:pPr>
            <w:r>
              <w:rPr>
                <w:rFonts w:ascii="宋体" w:hAnsi="宋体" w:eastAsia="宋体"/>
                <w:sz w:val="16"/>
              </w:rPr>
              <w:t>和硕县退役军人事务局</w:t>
            </w:r>
          </w:p>
        </w:tc>
      </w:tr>
      <w:tr w14:paraId="6CC5BD39">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37B6E3">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EB7443">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68387E">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FB901E">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220B6D">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B5E263">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5B9E99">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955E54">
            <w:pPr>
              <w:jc w:val="center"/>
            </w:pPr>
            <w:r>
              <w:rPr>
                <w:rFonts w:ascii="宋体" w:hAnsi="宋体" w:eastAsia="宋体"/>
                <w:sz w:val="16"/>
              </w:rPr>
              <w:t>得分</w:t>
            </w:r>
          </w:p>
        </w:tc>
      </w:tr>
      <w:tr w14:paraId="18DB920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7C9CF5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4AC150">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0F6033">
            <w:pPr>
              <w:jc w:val="center"/>
            </w:pPr>
            <w:r>
              <w:rPr>
                <w:rFonts w:ascii="宋体" w:hAnsi="宋体" w:eastAsia="宋体"/>
                <w:sz w:val="16"/>
              </w:rPr>
              <w:t>721.04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2FD5CD">
            <w:pPr>
              <w:jc w:val="center"/>
            </w:pPr>
            <w:r>
              <w:rPr>
                <w:rFonts w:ascii="宋体" w:hAnsi="宋体" w:eastAsia="宋体"/>
                <w:sz w:val="16"/>
              </w:rPr>
              <w:t>746.41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4B0ECA">
            <w:pPr>
              <w:jc w:val="center"/>
            </w:pPr>
            <w:r>
              <w:rPr>
                <w:rFonts w:ascii="宋体" w:hAnsi="宋体" w:eastAsia="宋体"/>
                <w:sz w:val="16"/>
              </w:rPr>
              <w:t>746.41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6E3F5D">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DFE69D">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9F542D">
            <w:pPr>
              <w:jc w:val="center"/>
            </w:pPr>
            <w:r>
              <w:rPr>
                <w:rFonts w:ascii="宋体" w:hAnsi="宋体" w:eastAsia="宋体"/>
                <w:sz w:val="16"/>
              </w:rPr>
              <w:t>10</w:t>
            </w:r>
          </w:p>
        </w:tc>
      </w:tr>
      <w:tr w14:paraId="7E519B5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C1A76A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B71745">
            <w:pPr>
              <w:jc w:val="center"/>
            </w:pPr>
            <w:r>
              <w:rPr>
                <w:rFonts w:ascii="宋体" w:hAnsi="宋体" w:eastAsia="宋体"/>
                <w:sz w:val="16"/>
              </w:rPr>
              <w:t>其中:上级安排（万元）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C584DC">
            <w:pPr>
              <w:jc w:val="center"/>
            </w:pPr>
            <w:r>
              <w:rPr>
                <w:rFonts w:ascii="宋体" w:hAnsi="宋体" w:eastAsia="宋体"/>
                <w:sz w:val="16"/>
              </w:rPr>
              <w:t>437.65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000DA4">
            <w:pPr>
              <w:jc w:val="center"/>
            </w:pPr>
            <w:r>
              <w:rPr>
                <w:rFonts w:ascii="宋体" w:hAnsi="宋体" w:eastAsia="宋体"/>
                <w:sz w:val="16"/>
              </w:rPr>
              <w:t>426.37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D30963">
            <w:pPr>
              <w:jc w:val="center"/>
            </w:pPr>
            <w:r>
              <w:rPr>
                <w:rFonts w:ascii="宋体" w:hAnsi="宋体" w:eastAsia="宋体"/>
                <w:sz w:val="16"/>
              </w:rPr>
              <w:t>426.37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78A37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9BB512">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AF9DB2">
            <w:pPr>
              <w:jc w:val="center"/>
            </w:pPr>
            <w:r>
              <w:rPr>
                <w:rFonts w:ascii="宋体" w:hAnsi="宋体" w:eastAsia="宋体"/>
                <w:sz w:val="16"/>
              </w:rPr>
              <w:t>-</w:t>
            </w:r>
          </w:p>
        </w:tc>
      </w:tr>
      <w:tr w14:paraId="1022CDA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440825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542273">
            <w:pPr>
              <w:jc w:val="center"/>
            </w:pPr>
            <w:r>
              <w:rPr>
                <w:rFonts w:ascii="宋体" w:hAnsi="宋体" w:eastAsia="宋体"/>
                <w:sz w:val="16"/>
              </w:rPr>
              <w:t>本级安排（万元）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B1DBC7">
            <w:pPr>
              <w:jc w:val="center"/>
            </w:pPr>
            <w:r>
              <w:rPr>
                <w:rFonts w:ascii="宋体" w:hAnsi="宋体" w:eastAsia="宋体"/>
                <w:sz w:val="16"/>
              </w:rPr>
              <w:t>283.39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EA0FE9">
            <w:pPr>
              <w:jc w:val="center"/>
            </w:pPr>
            <w:r>
              <w:rPr>
                <w:rFonts w:ascii="宋体" w:hAnsi="宋体" w:eastAsia="宋体"/>
                <w:sz w:val="16"/>
              </w:rPr>
              <w:t>320.04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958AAD">
            <w:pPr>
              <w:jc w:val="center"/>
            </w:pPr>
            <w:r>
              <w:rPr>
                <w:rFonts w:ascii="宋体" w:hAnsi="宋体" w:eastAsia="宋体"/>
                <w:sz w:val="16"/>
              </w:rPr>
              <w:t>320.04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6DA9D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5C0DD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D5300E">
            <w:pPr>
              <w:jc w:val="center"/>
            </w:pPr>
            <w:r>
              <w:rPr>
                <w:rFonts w:ascii="宋体" w:hAnsi="宋体" w:eastAsia="宋体"/>
                <w:sz w:val="16"/>
              </w:rPr>
              <w:t>-</w:t>
            </w:r>
          </w:p>
        </w:tc>
      </w:tr>
      <w:tr w14:paraId="2DED7F3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F18D88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4C0F19">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E479A0">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6CDD2C">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5AB0DC">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97259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2B00C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C28E76">
            <w:pPr>
              <w:jc w:val="center"/>
            </w:pPr>
            <w:r>
              <w:rPr>
                <w:rFonts w:ascii="宋体" w:hAnsi="宋体" w:eastAsia="宋体"/>
                <w:sz w:val="16"/>
              </w:rPr>
              <w:t>-</w:t>
            </w:r>
          </w:p>
        </w:tc>
      </w:tr>
      <w:tr w14:paraId="1DB6852B">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79C73E">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4C70A15">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0DCB71F">
            <w:pPr>
              <w:jc w:val="center"/>
            </w:pPr>
            <w:r>
              <w:rPr>
                <w:rFonts w:ascii="宋体" w:hAnsi="宋体" w:eastAsia="宋体"/>
                <w:sz w:val="16"/>
              </w:rPr>
              <w:t>实际完成情况</w:t>
            </w:r>
          </w:p>
        </w:tc>
      </w:tr>
      <w:tr w14:paraId="093D458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EA1BFCA"/>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E13F3D1">
            <w:pPr>
              <w:jc w:val="both"/>
            </w:pPr>
            <w:r>
              <w:rPr>
                <w:rFonts w:ascii="宋体" w:hAnsi="宋体" w:eastAsia="宋体"/>
                <w:sz w:val="16"/>
              </w:rPr>
              <w:t>坚持以习近平新时代中国特色社会主义思想为指导，深入贯彻落实</w:t>
            </w:r>
            <w:r>
              <w:rPr>
                <w:rFonts w:hint="eastAsia" w:ascii="宋体" w:hAnsi="宋体"/>
                <w:sz w:val="16"/>
                <w:lang w:eastAsia="zh-CN"/>
              </w:rPr>
              <w:t>习近平总书记关于退役军人工作的重要论述</w:t>
            </w:r>
            <w:r>
              <w:rPr>
                <w:rFonts w:ascii="宋体" w:hAnsi="宋体" w:eastAsia="宋体"/>
                <w:sz w:val="16"/>
              </w:rPr>
              <w:t>精神，坚决贯彻落实党中央、国务院决策部署和自治区党委、政府工作要求，夯实基层基础、完善制度机制、规范机构运行，用心用力做好退役军人就业安置、优待褒扬、权益维护、服务管理等重点工作，推动新时代退役军人工作迈上新台阶，为实现社会稳定和长治久安总目标提供保障。主要内容：一是用于支付职工薪酬、津补贴等，保障单位办公等支出；二是深入推进拥军优抚工作，改善优抚对象生活水平，服务国防和军队建设；三是保障退役军人就业安置、褒扬纪念、权益维护、服务管理等重点工作有序开展，推动退役军人获得感成色更足；四是聚焦思想政治引领，依法保障退役军人合法权益，持续浓厚社会尊崇氛围。</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BAA7E2E">
            <w:pPr>
              <w:jc w:val="both"/>
            </w:pPr>
            <w:r>
              <w:rPr>
                <w:rFonts w:ascii="宋体" w:hAnsi="宋体" w:eastAsia="宋体"/>
                <w:sz w:val="16"/>
              </w:rPr>
              <w:t>（一）强化领导，压实责任，推动党的建设走深走实</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1、思想政治引领持续加强。一是强化理论武装。将</w:t>
            </w:r>
            <w:r>
              <w:rPr>
                <w:rFonts w:hint="eastAsia" w:ascii="宋体" w:hAnsi="宋体"/>
                <w:sz w:val="16"/>
                <w:lang w:eastAsia="zh-CN"/>
              </w:rPr>
              <w:t>学习贯彻习近平新时代中国特色社会主义思想</w:t>
            </w:r>
            <w:r>
              <w:rPr>
                <w:rFonts w:ascii="宋体" w:hAnsi="宋体" w:eastAsia="宋体"/>
                <w:sz w:val="16"/>
              </w:rPr>
              <w:t>、党的二十大精神和习近平总书记重要讲话精神作为党组会议、党组理论学习中心组、“三会一课”的第一议题，推动学习常态化制度化。今年以来，党组理论学习中心组22次，学习研讨交流16次，主要领导讲党课4次，引导全体党员干部不断强化</w:t>
            </w:r>
            <w:r>
              <w:rPr>
                <w:rFonts w:hint="eastAsia" w:ascii="宋体" w:hAnsi="宋体"/>
                <w:sz w:val="16"/>
                <w:lang w:eastAsia="zh-CN"/>
              </w:rPr>
              <w:t>思想自觉、政治自觉、行动自觉</w:t>
            </w:r>
            <w:r>
              <w:rPr>
                <w:rFonts w:ascii="宋体" w:hAnsi="宋体" w:eastAsia="宋体"/>
                <w:sz w:val="16"/>
              </w:rPr>
              <w:t>。二是</w:t>
            </w:r>
            <w:r>
              <w:rPr>
                <w:rFonts w:hint="eastAsia" w:ascii="宋体" w:hAnsi="宋体"/>
                <w:sz w:val="16"/>
                <w:lang w:eastAsia="zh-CN"/>
              </w:rPr>
              <w:t>党纪学习教育</w:t>
            </w:r>
            <w:r>
              <w:rPr>
                <w:rFonts w:ascii="宋体" w:hAnsi="宋体" w:eastAsia="宋体"/>
                <w:sz w:val="16"/>
              </w:rPr>
              <w:t>入心入脑。在</w:t>
            </w:r>
            <w:r>
              <w:rPr>
                <w:rFonts w:hint="eastAsia" w:ascii="宋体" w:hAnsi="宋体"/>
                <w:sz w:val="16"/>
                <w:lang w:eastAsia="zh-CN"/>
              </w:rPr>
              <w:t>党纪学习教育</w:t>
            </w:r>
            <w:r>
              <w:rPr>
                <w:rFonts w:ascii="宋体" w:hAnsi="宋体" w:eastAsia="宋体"/>
                <w:sz w:val="16"/>
              </w:rPr>
              <w:t>中，通过集中学习、个人自学、党课与交流研讨相融合等丰富多样的形式，深入学习了《习近平关于全面加强党的纪律建设论述摘编》和《中国共产党纪律处分条例》等纪律规定。学习过程中，大家结合自身工作实际，查找可能存在的风险点，并制定相应的防范措施。确保纪律要求贯穿工作始终，做到守纪律、讲规矩。</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党建引领作用发挥明显。一是认真落实全面从严管党治党政治责任，把党的领导贯穿退役军人事务工作的全过程全领域，做到党建工作和中心工作同谋划、同部署。二是筑牢党支部堡垒作用。狠抓“三会一课”、“党旗映天山”主题党日等党内政治生活制度落实。党建工作“清单式”管理，创建“五个好”标准化规范化党支部，建设“四个合格”党员队伍，开展“三亮三学三比”争当先锋行动，提高服务退役军人本领。三是开展志愿服务活动，定期不定期开展志愿服务活动，努力为群众办实事、办好事，提高人民群众的获得感、幸福感、安全感。四是抓牢意识形态工作。坚持把意识形态工作作为重要政治任务，切实把意识形态工作具体化、常态化，确保始终沿着正确的政治方向。五是强化法治建设。退役军人法律援助工作站和人民调解委员会,以新时代“枫桥经验”为依托，提供法律咨询，纠纷调解、困难帮扶等优质服务，化解矛盾纠纷，解除疑难杂症，维护退役军人的合法权益。</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3、党风廉政建设扎实开展。一是全面落实主体责任，层层传导责任压力。退役军人事务局党组强化党风廉政</w:t>
            </w:r>
            <w:r>
              <w:rPr>
                <w:rFonts w:hint="eastAsia" w:ascii="宋体" w:hAnsi="宋体"/>
                <w:sz w:val="16"/>
                <w:lang w:eastAsia="zh-CN"/>
              </w:rPr>
              <w:t>主题</w:t>
            </w:r>
            <w:r>
              <w:rPr>
                <w:rFonts w:ascii="宋体" w:hAnsi="宋体" w:eastAsia="宋体"/>
                <w:sz w:val="16"/>
              </w:rPr>
              <w:t>教育，提高廉洁意识。召开2次专题会议对全面从严治党党风廉政建设和反腐败工作进行研究部署，层层压实责任，逐级传导压力。二是推动落实党风廉政建设工作责任。创新开展“5·20”廉政文化宣传周、“党风廉政教育月”活动，参观廉政教育基地3次，利用主题党日开展警示教育5次，全面落实领导干部报告个人有关事项制度，把廉</w:t>
            </w:r>
            <w:bookmarkStart w:id="0" w:name="_GoBack"/>
            <w:bookmarkEnd w:id="0"/>
            <w:r>
              <w:rPr>
                <w:rFonts w:ascii="宋体" w:hAnsi="宋体" w:eastAsia="宋体"/>
                <w:sz w:val="16"/>
              </w:rPr>
              <w:t>政谈话作为增强党员干部廉洁自律意识的重要手段，深入了解党员干部思想动态。三是加强正风肃纪，提升机关党建“内驱力”。退役军人事务局班子及个人对照岗位职责排查廉政风险点27条，制定防范措施27条。</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（二）强化措施，精准发力，推动退役军人工作稳步发展</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1.发挥职能作用，积极谋划准备。认真传达学习新修订的《双拥模范城（县）创建命名管理办法》和《全国双拥模范城（县）考评标准》。6月14日组织召开和硕县创建“全国双拥模范县”工作培训会，制定印发《和硕县创建“全国双拥模范县”工作任务分解》，明确创建目标、时间、任务等，进一步理清全县各部门单位创建工作职责、工作安排。</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认真组织实施，细化工作任务分解。根据退役军人事务部《“十四五”退役军人服务和保障规划》的有关要求，针对我县退役军人服务体系建设存在的标准不高、作用发挥不够明显等问题，按照县委领导的要求，5月14日，组织县乡15名站点负责人和专干赴库尔勒市新城街道南湖社区参观学习服务体系建设成功经验，5月29日-31日组织人员赴乌鲁木齐市、克拉玛依市观摩学习退役军人服务站建设和双拥创建工作，认真借鉴先进经验和创新做法，切实提升工作能力和服务水平。同时，对照《全国双拥模范城（县）考评标准》，逐项逐条进行分析研究，细化任务分解，压实工作任务,安排7个乡镇退役军人服务站和明珠社区退役军人服务站、龙驹社区退役军人服务站进行提升改造。目前，已完成提升改造服务站2个，其余8个站点的提升改造工作正在进行。</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3.着力打造亮点，强化跟踪指导。根据创建验收相关要求，结合我县实际，认真分析研究，初步确定了县博物馆双拥展厅（双拥园）、马兰红山军博园、乌什塔拉乡退役军人服务站、县第二小学、乌什塔拉乡卫生院、特吾里克镇龙驹社区6个示范点，现场指导各示范点，并总结提炼特色做法，进行升级打造，多角度展示和硕双拥共建成果。同时，加强县行政服务大厅、医院、车站等服务窗口“拥军优属”标识落实情况的指导，积极营造浓厚的双拥共建氛围。持续推进社会拥军组织建设，在已命名前两批“拥军企业”“拥军门店”基础上，9月20日，举办了第三批拥军企业、拥军门店授牌仪式，对48家门店和企业进行授牌命名，切实推动社会化拥军工作取得实效。</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4.强化服务意识，落实优抚政策。一是全面落实优抚政策。按照国家和自治区有关规定，及时足额发放各类优待抚恤资金。2024年，发放优抚对象定期抚恤金和生活补助金2742240元，惠及优抚对象1937次，其中，发放去世优抚对象补助金18648元，惠及优抚对象家庭1户。发放义务兵家庭优待金370000元，惠及义务家庭37户。发放优抚对象医疗补助81735.63元，惠及优抚对象46人；缴纳军转干部医疗保险657942.42元，惠及军转干部38名；发放企业军转干部生活补助13984.27元，惠及企业军转干部1名；发放复原干部基本医疗补助5490元，惠及复原干部2名；发放军休干部医疗补助19803.42元，惠及军休干部1名。二是常态化做好退役军人建档立卡和优待证发放工作。结合春季和秋季退役军人返乡报到，退役军人优待证办理、做好优抚对象年度认证等工作。截至目前，已累计建档立卡1178人，申领优待证1171张，申领率达到99.4%。</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5.加强教育培训，做好就业创业安置。一是全力做好接受安置工作。深入开展“军人退役一件事”，做好退役报到工作。今年共接收返乡自主就业退役士兵12人，发放自主就业退役士兵一次性经济补助金261000元。二是为上好“返乡第一课”，举办和硕县2024年退役士兵适应性培训及技能培训，邀请巴州昌盛职业技能培训学校，开展“技能授课+外出考察”的方式，教授烹饪和面点的实用技术，通过参观考察，直观感受现代农业种植技术，学习创业历程和成功经验，帮助他们树立正确的择业观和科学规划职业发展目标。联合县社保局、财政局等有关部门，继续做好部分人员的社保接续信息资料收集办理工作，有效解决部分退役士兵的后顾之忧。落实安置优抚政策，稳步做好年度退役士兵接收安置工作。截至目前，受理了8名退役军人相关资料，其中，7名退役军人的资料审核通过。</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6.消除风险隐患，维护涉军群体稳定。充分发挥退役军人服务中心（站）职能作用</w:t>
            </w:r>
            <w:r>
              <w:rPr>
                <w:rFonts w:hint="eastAsia" w:ascii="宋体" w:hAnsi="宋体"/>
                <w:sz w:val="16"/>
                <w:lang w:eastAsia="zh-CN"/>
              </w:rPr>
              <w:t>，对</w:t>
            </w:r>
            <w:r>
              <w:rPr>
                <w:rFonts w:ascii="宋体" w:hAnsi="宋体" w:eastAsia="宋体"/>
                <w:sz w:val="16"/>
              </w:rPr>
              <w:t>33名重复享受待遇“两参”人员清理后的后续工作，坚持政策引导，加强关心关爱，通过重温入党誓词、追忆峥嵘岁月、回忆军旅生活等方式，激发退役军人“退役不褪色、建功新时代”，确保我县退役军人群体平稳有序。截至目前，我县停发3名“两参人员”优抚待遇。二是做好信访矛盾的化解。持续关注退役军人思想动态，做好舆论引导，动态管理退役军人就业需求及从业转变，防范退役军人集体访、串联维权等情况。截至目前，累计各类退役军人来访200人次，网上舆论信访0次，电话信访2件，转办1件，按照相关政策合理妥善解决，化解率为100 %。</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7.全力协调配合，巩固军政军民关系。组织开展春节、“八一”走访慰问活动，做好军地互提需求互办实事“双清单”事项征集、反馈，已收集成员单位拟需要部队解决双清单事项17件，部队拟需要地方解决事项7件，目前已将收集事项反馈相关部队和部门单位进一步研究答复，待答复情况汇总后呈报县委，确定2024年度军地“双清单”事项，积极发挥军地共建桥梁纽带作用。今年以来，春节、“八一”前夕，共投入资金405000元慰问驻县部队、现役军人亲属、退役军人代表、优抚对象230人，有力地推动了双拥工作向规范化、常态化方向发展。</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8.缅怀英雄烈士，弘扬红色基因。一是</w:t>
            </w:r>
            <w:r>
              <w:rPr>
                <w:rFonts w:hint="eastAsia" w:ascii="宋体" w:hAnsi="宋体"/>
                <w:sz w:val="16"/>
                <w:lang w:eastAsia="zh-CN"/>
              </w:rPr>
              <w:t>隆重</w:t>
            </w:r>
            <w:r>
              <w:rPr>
                <w:rFonts w:ascii="宋体" w:hAnsi="宋体" w:eastAsia="宋体"/>
                <w:sz w:val="16"/>
              </w:rPr>
              <w:t>开展烈士纪念活动。在清明节、9·30烈士纪念日期间，线上线下同步开展祭奠缅怀英烈活动。组织县委四套班子及其他县级领导、各部门单位200人赴马兰烈士陵园，举行烈士纪念日公祭活动，走访慰问抗美援朝老兵、烈士子女、伤残军人代表及退役军人模范代表10人，送去慰问金每人300元，共计3000元，二是为热烈庆祝中华人民共和国成立75周年，组织现役军人、退役军人、部分重点优抚对象60余人前往和硕县电影院观看红色电影《志愿军：存亡之战》，共同追忆峥嵘岁月，激发爱国情怀，以实际行动表达对英雄烈士的缅怀与崇敬。</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9.强化荣誉激励，营造尊重尊崇氛围。一是扎实开展光荣牌悬挂和立功受奖送喜报工作。不断增强军人军属荣誉感、自豪感，更好激励退役军人服务经济社会发展。为全县15名新入伍现役军人家庭悬挂“光荣之家”光荣牌，为荣立二等功现役军人张景东家人送去“二等功臣之家”牌匾、立功喜报及慰问金。在巴州成立75周年活动中，组织我县2名抗美援朝老军人、6名两参人员、2名退役军人模范代表参加庆祝活动，申领发放10枚纪念章。三是继续开展困难退役军人困难帮扶，为困难退役军人排忧解难，解决生产生活中的实际问题。退役军人困难帮扶1人，发放帮扶资金5000元；2名“参战参试人员”赴荣军医院康养体检。</w:t>
            </w:r>
          </w:p>
        </w:tc>
      </w:tr>
      <w:tr w14:paraId="47F6AD97">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7A3CB6">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2BE8C4">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DAC5E0">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391BF8">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9B9ED9">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D67660">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053184">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909722">
            <w:pPr>
              <w:jc w:val="center"/>
            </w:pPr>
            <w:r>
              <w:rPr>
                <w:rFonts w:ascii="宋体" w:hAnsi="宋体" w:eastAsia="宋体"/>
                <w:sz w:val="16"/>
              </w:rPr>
              <w:t>得分</w:t>
            </w:r>
          </w:p>
        </w:tc>
      </w:tr>
      <w:tr w14:paraId="5FCB0755">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CA68A2">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040FD9">
            <w:pPr>
              <w:jc w:val="center"/>
            </w:pPr>
            <w:r>
              <w:rPr>
                <w:rFonts w:ascii="宋体" w:hAnsi="宋体" w:eastAsia="宋体"/>
                <w:sz w:val="16"/>
              </w:rPr>
              <w:t>质量目标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AB4793">
            <w:pPr>
              <w:jc w:val="center"/>
            </w:pPr>
            <w:r>
              <w:rPr>
                <w:rFonts w:ascii="宋体" w:hAnsi="宋体" w:eastAsia="宋体"/>
                <w:sz w:val="16"/>
              </w:rPr>
              <w:t>自主择业军转干部取暖补助、逐月医疗保障率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B5D8F8">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4A5D31">
            <w:pPr>
              <w:jc w:val="center"/>
            </w:pPr>
            <w:r>
              <w:rPr>
                <w:rFonts w:ascii="宋体" w:hAnsi="宋体" w:eastAsia="宋体"/>
                <w:sz w:val="16"/>
              </w:rPr>
              <w:t>工作要点</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73265F">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0056EA">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3538EE">
            <w:pPr>
              <w:jc w:val="center"/>
            </w:pPr>
            <w:r>
              <w:rPr>
                <w:rFonts w:ascii="宋体" w:hAnsi="宋体" w:eastAsia="宋体"/>
                <w:sz w:val="16"/>
              </w:rPr>
              <w:t>30</w:t>
            </w:r>
          </w:p>
        </w:tc>
      </w:tr>
      <w:tr w14:paraId="0565EDC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F2FB307"/>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3324EA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6A8379">
            <w:pPr>
              <w:jc w:val="center"/>
            </w:pPr>
            <w:r>
              <w:rPr>
                <w:rFonts w:ascii="宋体" w:hAnsi="宋体" w:eastAsia="宋体"/>
                <w:sz w:val="16"/>
              </w:rPr>
              <w:t>优抚对象抚恤补助足额兑现率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3CD2BC">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BC9ADD">
            <w:pPr>
              <w:jc w:val="center"/>
            </w:pPr>
            <w:r>
              <w:rPr>
                <w:rFonts w:ascii="宋体" w:hAnsi="宋体" w:eastAsia="宋体"/>
                <w:sz w:val="16"/>
              </w:rPr>
              <w:t>工作要点</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2C519B">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90ACE8">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AEF453">
            <w:pPr>
              <w:jc w:val="center"/>
            </w:pPr>
            <w:r>
              <w:rPr>
                <w:rFonts w:ascii="宋体" w:hAnsi="宋体" w:eastAsia="宋体"/>
                <w:sz w:val="16"/>
              </w:rPr>
              <w:t>30</w:t>
            </w:r>
          </w:p>
        </w:tc>
      </w:tr>
      <w:tr w14:paraId="42E97CB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545ED71"/>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43D062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81D200">
            <w:pPr>
              <w:jc w:val="center"/>
            </w:pPr>
            <w:r>
              <w:rPr>
                <w:rFonts w:ascii="宋体" w:hAnsi="宋体" w:eastAsia="宋体"/>
                <w:sz w:val="16"/>
              </w:rPr>
              <w:t>军队离退休人员退休金、医疗保障覆盖率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E7F70E">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498018">
            <w:pPr>
              <w:jc w:val="center"/>
            </w:pPr>
            <w:r>
              <w:rPr>
                <w:rFonts w:ascii="宋体" w:hAnsi="宋体" w:eastAsia="宋体"/>
                <w:sz w:val="16"/>
              </w:rPr>
              <w:t>工作要点</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7FD229">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9E1161">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DB3BB6">
            <w:pPr>
              <w:jc w:val="center"/>
            </w:pPr>
            <w:r>
              <w:rPr>
                <w:rFonts w:ascii="宋体" w:hAnsi="宋体" w:eastAsia="宋体"/>
                <w:sz w:val="16"/>
              </w:rPr>
              <w:t>30</w:t>
            </w:r>
          </w:p>
        </w:tc>
      </w:tr>
    </w:tbl>
    <w:p w14:paraId="4FEE3D98">
      <w:r>
        <w:br w:type="page"/>
      </w:r>
    </w:p>
    <w:p w14:paraId="6F3F1CE4">
      <w:pPr>
        <w:spacing w:line="640" w:lineRule="exact"/>
        <w:ind w:firstLine="640"/>
        <w:jc w:val="both"/>
        <w:outlineLvl w:val="2"/>
      </w:pPr>
      <w:r>
        <w:rPr>
          <w:rFonts w:ascii="黑体" w:hAnsi="黑体" w:eastAsia="黑体"/>
          <w:sz w:val="32"/>
        </w:rPr>
        <w:t>十二、其他需说明的事项</w:t>
      </w:r>
    </w:p>
    <w:p w14:paraId="72B27CF7">
      <w:pPr>
        <w:spacing w:line="580" w:lineRule="exact"/>
        <w:ind w:firstLine="640"/>
        <w:jc w:val="both"/>
      </w:pPr>
      <w:r>
        <w:rPr>
          <w:rFonts w:ascii="仿宋_GB2312" w:hAnsi="仿宋_GB2312" w:eastAsia="仿宋_GB2312"/>
          <w:b w:val="0"/>
          <w:sz w:val="32"/>
        </w:rPr>
        <w:t>本年本单位SM项目15个，全年预算数592.49万元，全年执行数592.49万元。</w:t>
      </w:r>
    </w:p>
    <w:p w14:paraId="38F79D98">
      <w:r>
        <w:br w:type="page"/>
      </w:r>
    </w:p>
    <w:p w14:paraId="47D0045D">
      <w:pPr>
        <w:spacing w:line="240" w:lineRule="auto"/>
        <w:jc w:val="center"/>
        <w:outlineLvl w:val="1"/>
      </w:pPr>
      <w:r>
        <w:rPr>
          <w:rFonts w:ascii="黑体" w:hAnsi="黑体" w:eastAsia="黑体"/>
          <w:sz w:val="32"/>
        </w:rPr>
        <w:t>第三部分 专业名词解释</w:t>
      </w:r>
    </w:p>
    <w:p w14:paraId="5E8ACB46">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31E0066">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2F72370">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FB672DA">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55FD16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BA8D450">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5BEDC2A">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CC24E56">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451D0D6">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644CEEA">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D91969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5ABD1FF">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05849B1">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8F7FFE5">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E220763">
      <w:r>
        <w:br w:type="page"/>
      </w:r>
    </w:p>
    <w:p w14:paraId="6304B9D6">
      <w:pPr>
        <w:spacing w:line="240" w:lineRule="auto"/>
        <w:jc w:val="center"/>
        <w:outlineLvl w:val="1"/>
      </w:pPr>
      <w:r>
        <w:rPr>
          <w:rFonts w:ascii="黑体" w:hAnsi="黑体" w:eastAsia="黑体"/>
          <w:sz w:val="32"/>
        </w:rPr>
        <w:t>第四部分 部门决算报表（见附表）</w:t>
      </w:r>
    </w:p>
    <w:p w14:paraId="7BCDB799">
      <w:pPr>
        <w:spacing w:line="240" w:lineRule="auto"/>
        <w:ind w:firstLine="640"/>
        <w:jc w:val="both"/>
      </w:pPr>
      <w:r>
        <w:rPr>
          <w:rFonts w:ascii="仿宋_GB2312" w:hAnsi="仿宋_GB2312" w:eastAsia="仿宋_GB2312"/>
          <w:b w:val="0"/>
          <w:sz w:val="32"/>
        </w:rPr>
        <w:t>一、《收入支出决算总表》</w:t>
      </w:r>
    </w:p>
    <w:p w14:paraId="6D2263C6">
      <w:pPr>
        <w:spacing w:line="240" w:lineRule="auto"/>
        <w:ind w:firstLine="640"/>
        <w:jc w:val="both"/>
      </w:pPr>
      <w:r>
        <w:rPr>
          <w:rFonts w:ascii="仿宋_GB2312" w:hAnsi="仿宋_GB2312" w:eastAsia="仿宋_GB2312"/>
          <w:b w:val="0"/>
          <w:sz w:val="32"/>
        </w:rPr>
        <w:t>二、《收入决算表》</w:t>
      </w:r>
    </w:p>
    <w:p w14:paraId="6004E5E3">
      <w:pPr>
        <w:spacing w:line="240" w:lineRule="auto"/>
        <w:ind w:firstLine="640"/>
        <w:jc w:val="both"/>
      </w:pPr>
      <w:r>
        <w:rPr>
          <w:rFonts w:ascii="仿宋_GB2312" w:hAnsi="仿宋_GB2312" w:eastAsia="仿宋_GB2312"/>
          <w:b w:val="0"/>
          <w:sz w:val="32"/>
        </w:rPr>
        <w:t>三、《支出决算表》</w:t>
      </w:r>
    </w:p>
    <w:p w14:paraId="3B7795B3">
      <w:pPr>
        <w:spacing w:line="240" w:lineRule="auto"/>
        <w:ind w:firstLine="640"/>
        <w:jc w:val="both"/>
      </w:pPr>
      <w:r>
        <w:rPr>
          <w:rFonts w:ascii="仿宋_GB2312" w:hAnsi="仿宋_GB2312" w:eastAsia="仿宋_GB2312"/>
          <w:b w:val="0"/>
          <w:sz w:val="32"/>
        </w:rPr>
        <w:t>四、《财政拨款收入支出决算总表》</w:t>
      </w:r>
    </w:p>
    <w:p w14:paraId="1127082E">
      <w:pPr>
        <w:spacing w:line="240" w:lineRule="auto"/>
        <w:ind w:firstLine="640"/>
        <w:jc w:val="both"/>
      </w:pPr>
      <w:r>
        <w:rPr>
          <w:rFonts w:ascii="仿宋_GB2312" w:hAnsi="仿宋_GB2312" w:eastAsia="仿宋_GB2312"/>
          <w:b w:val="0"/>
          <w:sz w:val="32"/>
        </w:rPr>
        <w:t>五、《一般公共预算财政拨款支出决算表》</w:t>
      </w:r>
    </w:p>
    <w:p w14:paraId="0ED47032">
      <w:pPr>
        <w:spacing w:line="240" w:lineRule="auto"/>
        <w:ind w:firstLine="640"/>
        <w:jc w:val="both"/>
      </w:pPr>
      <w:r>
        <w:rPr>
          <w:rFonts w:ascii="仿宋_GB2312" w:hAnsi="仿宋_GB2312" w:eastAsia="仿宋_GB2312"/>
          <w:b w:val="0"/>
          <w:sz w:val="32"/>
        </w:rPr>
        <w:t>六、《一般公共预算财政拨款基本支出决算表》</w:t>
      </w:r>
    </w:p>
    <w:p w14:paraId="07D0E17C">
      <w:pPr>
        <w:spacing w:line="240" w:lineRule="auto"/>
        <w:ind w:firstLine="640"/>
        <w:jc w:val="both"/>
      </w:pPr>
      <w:r>
        <w:rPr>
          <w:rFonts w:ascii="仿宋_GB2312" w:hAnsi="仿宋_GB2312" w:eastAsia="仿宋_GB2312"/>
          <w:b w:val="0"/>
          <w:sz w:val="32"/>
        </w:rPr>
        <w:t>七、《政府性基金预算财政拨款收入支出决算表》</w:t>
      </w:r>
    </w:p>
    <w:p w14:paraId="0BDB0227">
      <w:pPr>
        <w:spacing w:line="240" w:lineRule="auto"/>
        <w:ind w:firstLine="640"/>
        <w:jc w:val="both"/>
      </w:pPr>
      <w:r>
        <w:rPr>
          <w:rFonts w:ascii="仿宋_GB2312" w:hAnsi="仿宋_GB2312" w:eastAsia="仿宋_GB2312"/>
          <w:b w:val="0"/>
          <w:sz w:val="32"/>
        </w:rPr>
        <w:t>八、《国有资本经营预算财政拨款收入支出决算表》</w:t>
      </w:r>
    </w:p>
    <w:p w14:paraId="0FBC5DE3">
      <w:pPr>
        <w:spacing w:line="240" w:lineRule="auto"/>
        <w:ind w:firstLine="640"/>
        <w:jc w:val="both"/>
      </w:pPr>
      <w:r>
        <w:rPr>
          <w:rFonts w:ascii="仿宋_GB2312" w:hAnsi="仿宋_GB2312" w:eastAsia="仿宋_GB2312"/>
          <w:b w:val="0"/>
          <w:sz w:val="32"/>
        </w:rPr>
        <w:t>九、《财政拨款“三公”经费支出决算表》</w:t>
      </w:r>
    </w:p>
    <w:p w14:paraId="36F61613">
      <w:pPr>
        <w:spacing w:line="240" w:lineRule="auto"/>
        <w:ind w:firstLine="640"/>
        <w:jc w:val="both"/>
      </w:pPr>
    </w:p>
    <w:p w14:paraId="33392540">
      <w:pPr>
        <w:spacing w:line="240" w:lineRule="auto"/>
        <w:ind w:firstLine="640"/>
        <w:jc w:val="both"/>
      </w:pPr>
    </w:p>
    <w:p w14:paraId="476D1794">
      <w:pPr>
        <w:spacing w:line="240" w:lineRule="auto"/>
        <w:ind w:firstLine="640"/>
        <w:jc w:val="both"/>
      </w:pPr>
    </w:p>
    <w:p w14:paraId="6E256B60">
      <w:pPr>
        <w:spacing w:line="240" w:lineRule="auto"/>
        <w:ind w:firstLine="640"/>
        <w:jc w:val="both"/>
      </w:pPr>
    </w:p>
    <w:p w14:paraId="27551E85">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D66B6F-FE1C-44D4-AB1E-14208A8325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EDB722EC-4848-48EA-BAB4-1420F6E496C9}"/>
  </w:font>
  <w:font w:name="仿宋_GB2312">
    <w:panose1 w:val="02010609030101010101"/>
    <w:charset w:val="86"/>
    <w:family w:val="modern"/>
    <w:pitch w:val="default"/>
    <w:sig w:usb0="00000001" w:usb1="080E0000" w:usb2="00000000" w:usb3="00000000" w:csb0="00040000" w:csb1="00000000"/>
    <w:embedRegular r:id="rId3" w:fontKey="{9B529AC5-9617-4335-93EE-F202583AEBF5}"/>
  </w:font>
  <w:font w:name="楷体_GB2312">
    <w:altName w:val="楷体"/>
    <w:panose1 w:val="02010609030101010101"/>
    <w:charset w:val="86"/>
    <w:family w:val="auto"/>
    <w:pitch w:val="default"/>
    <w:sig w:usb0="00000000" w:usb1="00000000" w:usb2="00000000" w:usb3="00000000" w:csb0="00040000" w:csb1="00000000"/>
    <w:embedRegular r:id="rId4" w:fontKey="{738B9AEC-FCF2-4D81-80BC-3FCF0D7DD45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1682E45"/>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61D517C"/>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8B1648B"/>
    <w:rsid w:val="29116777"/>
    <w:rsid w:val="2A053397"/>
    <w:rsid w:val="2A444FB1"/>
    <w:rsid w:val="2A6064E2"/>
    <w:rsid w:val="2C1965E9"/>
    <w:rsid w:val="2D1136DF"/>
    <w:rsid w:val="2DAE0E44"/>
    <w:rsid w:val="2FD27414"/>
    <w:rsid w:val="313F1D52"/>
    <w:rsid w:val="318029AB"/>
    <w:rsid w:val="31C63837"/>
    <w:rsid w:val="326F0A17"/>
    <w:rsid w:val="3277581B"/>
    <w:rsid w:val="3647586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2250DCE"/>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6627</Words>
  <Characters>7577</Characters>
  <Lines>0</Lines>
  <Paragraphs>0</Paragraphs>
  <TotalTime>8</TotalTime>
  <ScaleCrop>false</ScaleCrop>
  <LinksUpToDate>false</LinksUpToDate>
  <CharactersWithSpaces>7585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七喜</cp:lastModifiedBy>
  <cp:lastPrinted>2024-07-22T11:58:00Z</cp:lastPrinted>
  <dcterms:modified xsi:type="dcterms:W3CDTF">2025-09-30T04:25:02Z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eyJoZGlkIjoiMDAwYmRmZTlkODBlYWI2MWEzOGMyNWRlOTFmY2QzMTQiLCJ1c2VySWQiOiI3MDk1OTYwNjkifQ==</vt:lpwstr>
  </property>
</Properties>
</file>